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72FD7" w14:textId="77777777" w:rsidR="00265431" w:rsidRPr="007E3EA2" w:rsidRDefault="00265431" w:rsidP="00265431">
      <w:pPr>
        <w:snapToGrid w:val="0"/>
        <w:jc w:val="right"/>
        <w:rPr>
          <w:rFonts w:ascii="Arial" w:eastAsia="Calibri" w:hAnsi="Arial" w:cs="Arial"/>
          <w:b/>
          <w:color w:val="000000"/>
          <w:kern w:val="2"/>
          <w:sz w:val="26"/>
          <w:szCs w:val="26"/>
          <w:lang w:val="x-none" w:eastAsia="de-DE"/>
        </w:rPr>
      </w:pPr>
      <w:r w:rsidRPr="007E3EA2">
        <w:rPr>
          <w:rFonts w:ascii="Arial" w:eastAsia="Calibri" w:hAnsi="Arial" w:cs="Arial"/>
          <w:b/>
          <w:color w:val="000000"/>
          <w:kern w:val="2"/>
          <w:sz w:val="26"/>
          <w:szCs w:val="26"/>
          <w:lang w:val="x-none" w:eastAsia="de-DE"/>
        </w:rPr>
        <w:t>News Release</w:t>
      </w:r>
    </w:p>
    <w:p w14:paraId="0B53459E" w14:textId="6BDA5414" w:rsidR="00265431" w:rsidRPr="007E3EA2" w:rsidRDefault="00265431" w:rsidP="00265431">
      <w:pPr>
        <w:widowControl w:val="0"/>
        <w:jc w:val="right"/>
        <w:rPr>
          <w:rFonts w:ascii="Arial" w:hAnsi="Arial" w:cs="Arial"/>
          <w:color w:val="000000"/>
          <w:kern w:val="2"/>
          <w:sz w:val="20"/>
          <w:szCs w:val="22"/>
          <w:lang w:eastAsia="ja-JP"/>
        </w:rPr>
      </w:pPr>
      <w:r w:rsidRPr="007E3EA2">
        <w:rPr>
          <w:rFonts w:ascii="Arial" w:hAnsi="Arial" w:cs="Arial"/>
          <w:color w:val="000000"/>
          <w:kern w:val="2"/>
          <w:sz w:val="20"/>
          <w:szCs w:val="22"/>
          <w:lang w:eastAsia="ja-JP"/>
        </w:rPr>
        <w:t>No.: REN252</w:t>
      </w:r>
      <w:r>
        <w:rPr>
          <w:rFonts w:ascii="Arial" w:hAnsi="Arial" w:cs="Arial"/>
          <w:color w:val="000000"/>
          <w:kern w:val="2"/>
          <w:sz w:val="20"/>
          <w:szCs w:val="22"/>
          <w:lang w:eastAsia="ja-JP"/>
        </w:rPr>
        <w:t>7</w:t>
      </w:r>
      <w:r w:rsidRPr="007E3EA2">
        <w:rPr>
          <w:rFonts w:ascii="Arial" w:hAnsi="Arial" w:cs="Arial"/>
          <w:color w:val="000000"/>
          <w:kern w:val="2"/>
          <w:sz w:val="20"/>
          <w:szCs w:val="22"/>
          <w:lang w:eastAsia="ja-JP"/>
        </w:rPr>
        <w:t>(A)</w:t>
      </w:r>
    </w:p>
    <w:p w14:paraId="14A27134" w14:textId="77777777" w:rsidR="00265431" w:rsidRDefault="00265431" w:rsidP="00265431">
      <w:pPr>
        <w:pStyle w:val="NurText"/>
        <w:snapToGrid w:val="0"/>
        <w:rPr>
          <w:rStyle w:val="field"/>
          <w:rFonts w:ascii="Arial" w:eastAsiaTheme="minorEastAsia" w:hAnsi="Arial" w:cs="Arial"/>
          <w:b/>
          <w:bCs/>
          <w:color w:val="000000" w:themeColor="text1"/>
          <w:sz w:val="28"/>
          <w:szCs w:val="28"/>
          <w:lang w:val="en-US" w:eastAsia="ja-JP"/>
        </w:rPr>
      </w:pPr>
    </w:p>
    <w:p w14:paraId="39B97F0A" w14:textId="77777777" w:rsidR="00265431" w:rsidRDefault="00265431">
      <w:pPr>
        <w:pBdr>
          <w:top w:val="nil"/>
          <w:left w:val="nil"/>
          <w:bottom w:val="nil"/>
          <w:right w:val="nil"/>
          <w:between w:val="nil"/>
        </w:pBdr>
        <w:jc w:val="center"/>
        <w:rPr>
          <w:rFonts w:ascii="Arial" w:eastAsia="Arial" w:hAnsi="Arial" w:cs="Arial"/>
          <w:b/>
          <w:color w:val="000000"/>
          <w:sz w:val="28"/>
          <w:szCs w:val="28"/>
        </w:rPr>
      </w:pPr>
    </w:p>
    <w:p w14:paraId="66349AD5" w14:textId="35A2984C" w:rsidR="00D37782" w:rsidRDefault="008C6F06">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 xml:space="preserve">Renesas Powers </w:t>
      </w:r>
      <w:r w:rsidRPr="00275187">
        <w:rPr>
          <w:rFonts w:ascii="Arial" w:eastAsia="Arial" w:hAnsi="Arial" w:cs="Arial"/>
          <w:b/>
          <w:sz w:val="28"/>
          <w:szCs w:val="28"/>
        </w:rPr>
        <w:t>800 Volt Direct Current</w:t>
      </w:r>
      <w:r>
        <w:rPr>
          <w:rFonts w:ascii="Arial" w:eastAsia="Arial" w:hAnsi="Arial" w:cs="Arial"/>
          <w:b/>
          <w:color w:val="000000"/>
          <w:sz w:val="28"/>
          <w:szCs w:val="28"/>
        </w:rPr>
        <w:t xml:space="preserve"> AI Data Center Architecture with Next-Generation Power Semiconductors </w:t>
      </w:r>
    </w:p>
    <w:p w14:paraId="0B24CF59" w14:textId="77777777" w:rsidR="00D37782" w:rsidRDefault="00D37782">
      <w:pPr>
        <w:pBdr>
          <w:top w:val="nil"/>
          <w:left w:val="nil"/>
          <w:bottom w:val="nil"/>
          <w:right w:val="nil"/>
          <w:between w:val="nil"/>
        </w:pBdr>
        <w:jc w:val="center"/>
        <w:rPr>
          <w:rFonts w:ascii="Arial" w:eastAsia="Arial" w:hAnsi="Arial" w:cs="Arial"/>
          <w:b/>
          <w:color w:val="000000"/>
          <w:sz w:val="28"/>
          <w:szCs w:val="28"/>
        </w:rPr>
      </w:pPr>
    </w:p>
    <w:p w14:paraId="3045F0A3" w14:textId="61A0AC8C" w:rsidR="00D37782" w:rsidRDefault="00B64FFB">
      <w:pPr>
        <w:pBdr>
          <w:top w:val="nil"/>
          <w:left w:val="nil"/>
          <w:bottom w:val="nil"/>
          <w:right w:val="nil"/>
          <w:between w:val="nil"/>
        </w:pBdr>
        <w:rPr>
          <w:rFonts w:ascii="Arial" w:eastAsia="Arial" w:hAnsi="Arial" w:cs="Arial"/>
          <w:color w:val="000000"/>
          <w:sz w:val="22"/>
          <w:szCs w:val="22"/>
        </w:rPr>
      </w:pPr>
      <w:bookmarkStart w:id="0" w:name="_nmehxhmdvhcb" w:colFirst="0" w:colLast="0"/>
      <w:bookmarkStart w:id="1" w:name="_qqylfk8qdr34" w:colFirst="0" w:colLast="0"/>
      <w:bookmarkEnd w:id="0"/>
      <w:bookmarkEnd w:id="1"/>
      <w:r>
        <w:rPr>
          <w:rFonts w:ascii="Arial" w:eastAsia="Arial" w:hAnsi="Arial" w:cs="Arial"/>
          <w:b/>
          <w:color w:val="000000"/>
          <w:sz w:val="22"/>
          <w:szCs w:val="22"/>
          <w:highlight w:val="white"/>
        </w:rPr>
        <w:t>Düsseldorf</w:t>
      </w:r>
      <w:r w:rsidR="008C6F06">
        <w:rPr>
          <w:rFonts w:ascii="Arial" w:eastAsia="Arial" w:hAnsi="Arial" w:cs="Arial"/>
          <w:b/>
          <w:color w:val="000000"/>
          <w:sz w:val="22"/>
          <w:szCs w:val="22"/>
        </w:rPr>
        <w:t>, October 13, 2025 ―</w:t>
      </w:r>
      <w:r w:rsidR="008C6F06">
        <w:rPr>
          <w:rFonts w:ascii="Arial" w:eastAsia="Arial" w:hAnsi="Arial" w:cs="Arial"/>
          <w:color w:val="000000"/>
          <w:sz w:val="22"/>
          <w:szCs w:val="22"/>
        </w:rPr>
        <w:t xml:space="preserve"> Renesas Electronics Corporation (TSE:6723), a premier supplier of advanced semiconductor solutions, announced that it is supporting efficient power conversion and distribution for the </w:t>
      </w:r>
      <w:r w:rsidR="008C6F06" w:rsidRPr="00275187">
        <w:rPr>
          <w:rFonts w:ascii="Arial" w:eastAsia="Arial" w:hAnsi="Arial" w:cs="Arial"/>
          <w:color w:val="000000"/>
          <w:sz w:val="22"/>
          <w:szCs w:val="22"/>
        </w:rPr>
        <w:t>800</w:t>
      </w:r>
      <w:r w:rsidR="00275187" w:rsidRPr="00275187">
        <w:rPr>
          <w:rFonts w:ascii="Arial" w:hAnsi="Arial" w:cs="Arial" w:hint="eastAsia"/>
          <w:color w:val="000000"/>
          <w:sz w:val="22"/>
          <w:szCs w:val="22"/>
          <w:lang w:eastAsia="ja-JP"/>
        </w:rPr>
        <w:t xml:space="preserve"> </w:t>
      </w:r>
      <w:r w:rsidR="008C6F06" w:rsidRPr="00275187">
        <w:rPr>
          <w:rFonts w:ascii="Arial" w:eastAsia="Arial" w:hAnsi="Arial" w:cs="Arial"/>
          <w:color w:val="000000"/>
          <w:sz w:val="22"/>
          <w:szCs w:val="22"/>
        </w:rPr>
        <w:t>Volt D</w:t>
      </w:r>
      <w:r w:rsidR="008C6F06" w:rsidRPr="00275187">
        <w:rPr>
          <w:rFonts w:ascii="Arial" w:eastAsia="Arial" w:hAnsi="Arial" w:cs="Arial"/>
          <w:sz w:val="22"/>
          <w:szCs w:val="22"/>
        </w:rPr>
        <w:t>irect</w:t>
      </w:r>
      <w:r w:rsidR="008C6F06" w:rsidRPr="00275187">
        <w:rPr>
          <w:rFonts w:ascii="Arial" w:eastAsia="Arial" w:hAnsi="Arial" w:cs="Arial"/>
          <w:color w:val="000000"/>
          <w:sz w:val="22"/>
          <w:szCs w:val="22"/>
        </w:rPr>
        <w:t xml:space="preserve"> Current</w:t>
      </w:r>
      <w:r w:rsidR="008C6F06">
        <w:rPr>
          <w:rFonts w:ascii="Arial" w:eastAsia="Arial" w:hAnsi="Arial" w:cs="Arial"/>
          <w:color w:val="000000"/>
          <w:sz w:val="22"/>
          <w:szCs w:val="22"/>
        </w:rPr>
        <w:t xml:space="preserve"> power architecture </w:t>
      </w:r>
      <w:hyperlink r:id="rId8" w:history="1">
        <w:r w:rsidR="008C6F06">
          <w:rPr>
            <w:rFonts w:ascii="Arial" w:eastAsia="Arial" w:hAnsi="Arial" w:cs="Arial"/>
            <w:color w:val="1155CC"/>
            <w:sz w:val="22"/>
            <w:szCs w:val="22"/>
            <w:u w:val="single"/>
          </w:rPr>
          <w:t>announced by NVIDIA</w:t>
        </w:r>
      </w:hyperlink>
      <w:r w:rsidR="008C6F06">
        <w:rPr>
          <w:rFonts w:ascii="Arial" w:eastAsia="Arial" w:hAnsi="Arial" w:cs="Arial"/>
          <w:color w:val="000000"/>
          <w:sz w:val="22"/>
          <w:szCs w:val="22"/>
        </w:rPr>
        <w:t>, helping fuel the next wave of smarter, faster AI infrastructure.</w:t>
      </w:r>
    </w:p>
    <w:p w14:paraId="062D70FD" w14:textId="77777777" w:rsidR="00D37782" w:rsidRDefault="00D37782">
      <w:pPr>
        <w:pBdr>
          <w:top w:val="nil"/>
          <w:left w:val="nil"/>
          <w:bottom w:val="nil"/>
          <w:right w:val="nil"/>
          <w:between w:val="nil"/>
        </w:pBdr>
        <w:rPr>
          <w:rFonts w:ascii="Arial" w:eastAsia="Arial" w:hAnsi="Arial" w:cs="Arial"/>
          <w:color w:val="000000"/>
          <w:sz w:val="22"/>
          <w:szCs w:val="22"/>
        </w:rPr>
      </w:pPr>
      <w:bookmarkStart w:id="2" w:name="_lzwdctm0cbw8" w:colFirst="0" w:colLast="0"/>
      <w:bookmarkEnd w:id="2"/>
    </w:p>
    <w:p w14:paraId="1854503C" w14:textId="266485CD" w:rsidR="00D37782" w:rsidRDefault="008C6F06">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As GPU-driven AI workloads intensify and data center power consumption scales into multi-</w:t>
      </w:r>
      <w:r w:rsidR="00275187" w:rsidRPr="00275187">
        <w:rPr>
          <w:rFonts w:ascii="Arial" w:eastAsia="Arial" w:hAnsi="Arial" w:cs="Arial"/>
          <w:sz w:val="22"/>
          <w:szCs w:val="22"/>
        </w:rPr>
        <w:t>hundred</w:t>
      </w:r>
      <w:r w:rsidR="00AF0CFC">
        <w:rPr>
          <w:rFonts w:ascii="Arial" w:hAnsi="Arial" w:cs="Arial" w:hint="eastAsia"/>
          <w:sz w:val="22"/>
          <w:szCs w:val="22"/>
          <w:lang w:eastAsia="ja-JP"/>
        </w:rPr>
        <w:t xml:space="preserve"> </w:t>
      </w:r>
      <w:r w:rsidR="00275187" w:rsidRPr="00275187">
        <w:rPr>
          <w:rFonts w:ascii="Arial" w:eastAsia="Arial" w:hAnsi="Arial" w:cs="Arial"/>
          <w:sz w:val="22"/>
          <w:szCs w:val="22"/>
        </w:rPr>
        <w:t>megawatt</w:t>
      </w:r>
      <w:r>
        <w:rPr>
          <w:rFonts w:ascii="Arial" w:eastAsia="Arial" w:hAnsi="Arial" w:cs="Arial"/>
          <w:color w:val="000000"/>
          <w:sz w:val="22"/>
          <w:szCs w:val="22"/>
        </w:rPr>
        <w:t xml:space="preserve"> territory, modern data centers must adopt power architectures that are both energy optimized and scalable. Wide bandgap semiconductors such as GaN FET switches are quickly emerging as a key solution thanks to their faster switching, lower energy losses, and superior thermal management. Moreover, GaN power devices will enable the development of 800V </w:t>
      </w:r>
      <w:r w:rsidRPr="00275187">
        <w:rPr>
          <w:rFonts w:ascii="Arial" w:eastAsia="Arial" w:hAnsi="Arial" w:cs="Arial"/>
          <w:sz w:val="22"/>
          <w:szCs w:val="22"/>
        </w:rPr>
        <w:t>direct current</w:t>
      </w:r>
      <w:r>
        <w:rPr>
          <w:rFonts w:ascii="Arial" w:eastAsia="Arial" w:hAnsi="Arial" w:cs="Arial"/>
          <w:color w:val="000000"/>
          <w:sz w:val="22"/>
          <w:szCs w:val="22"/>
        </w:rPr>
        <w:t xml:space="preserve"> buses within racks to significantly reduce distribution losses and the need for large bus bars, while still supporting reuse of 48V components via DC/DC step-down converters. </w:t>
      </w:r>
    </w:p>
    <w:p w14:paraId="7596DBB8" w14:textId="77777777" w:rsidR="00D37782" w:rsidRDefault="00D37782">
      <w:pPr>
        <w:pBdr>
          <w:top w:val="nil"/>
          <w:left w:val="nil"/>
          <w:bottom w:val="nil"/>
          <w:right w:val="nil"/>
          <w:between w:val="nil"/>
        </w:pBdr>
        <w:rPr>
          <w:rFonts w:ascii="Arial" w:eastAsia="Arial" w:hAnsi="Arial" w:cs="Arial"/>
          <w:color w:val="000000"/>
          <w:sz w:val="22"/>
          <w:szCs w:val="22"/>
        </w:rPr>
      </w:pPr>
    </w:p>
    <w:p w14:paraId="37781E73" w14:textId="7DFC1458" w:rsidR="00D37782" w:rsidRDefault="008C6F06">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Renesas’ GaN based power solutions are especially suited for the task, supporting efficient and dense DC/DC power conversion with operating voltages of 48V to as high as 400V, with the option to stack up to 800V. Based on the LLC Direct Current Transformer (LLC DCX) topology, these converters achieve up to 98 percent efficiency. For the AC/DC front-end, Renesas uses bi-directional GaN switches to simplify rectifier designs and increase power density. Renesas REXFET MOSFETs, drivers and controllers complement the BOM of the new DC/DC converters. Visit </w:t>
      </w:r>
      <w:hyperlink r:id="rId9">
        <w:r w:rsidR="00D37782">
          <w:rPr>
            <w:rFonts w:ascii="Arial" w:eastAsia="Arial" w:hAnsi="Arial" w:cs="Arial"/>
            <w:color w:val="0563C1"/>
            <w:sz w:val="22"/>
            <w:szCs w:val="22"/>
            <w:u w:val="single"/>
          </w:rPr>
          <w:t>renesas.com/power</w:t>
        </w:r>
      </w:hyperlink>
      <w:r>
        <w:rPr>
          <w:rFonts w:ascii="Arial" w:eastAsia="Arial" w:hAnsi="Arial" w:cs="Arial"/>
          <w:color w:val="000000"/>
          <w:sz w:val="22"/>
          <w:szCs w:val="22"/>
        </w:rPr>
        <w:t xml:space="preserve"> for more details.</w:t>
      </w:r>
    </w:p>
    <w:p w14:paraId="0A0D296B" w14:textId="77777777" w:rsidR="00D37782" w:rsidRDefault="00D37782">
      <w:pPr>
        <w:pBdr>
          <w:top w:val="nil"/>
          <w:left w:val="nil"/>
          <w:bottom w:val="nil"/>
          <w:right w:val="nil"/>
          <w:between w:val="nil"/>
        </w:pBdr>
        <w:rPr>
          <w:rFonts w:ascii="Arial" w:eastAsia="Arial" w:hAnsi="Arial" w:cs="Arial"/>
          <w:color w:val="000000"/>
          <w:sz w:val="22"/>
          <w:szCs w:val="22"/>
        </w:rPr>
      </w:pPr>
      <w:bookmarkStart w:id="3" w:name="_ksun4kwl9n36" w:colFirst="0" w:colLast="0"/>
      <w:bookmarkEnd w:id="3"/>
    </w:p>
    <w:p w14:paraId="35FAA5FE" w14:textId="15F7C791" w:rsidR="00D37782" w:rsidRDefault="008C6F06">
      <w:pPr>
        <w:pBdr>
          <w:top w:val="nil"/>
          <w:left w:val="nil"/>
          <w:bottom w:val="nil"/>
          <w:right w:val="nil"/>
          <w:between w:val="nil"/>
        </w:pBdr>
        <w:rPr>
          <w:rFonts w:ascii="Arial" w:eastAsia="Arial" w:hAnsi="Arial" w:cs="Arial"/>
          <w:color w:val="000000"/>
          <w:sz w:val="22"/>
          <w:szCs w:val="22"/>
        </w:rPr>
      </w:pPr>
      <w:bookmarkStart w:id="4" w:name="_er4j0ceoxjak" w:colFirst="0" w:colLast="0"/>
      <w:bookmarkEnd w:id="4"/>
      <w:r>
        <w:rPr>
          <w:rFonts w:ascii="Arial" w:eastAsia="Arial" w:hAnsi="Arial" w:cs="Arial"/>
          <w:color w:val="000000"/>
          <w:sz w:val="22"/>
          <w:szCs w:val="22"/>
        </w:rPr>
        <w:t xml:space="preserve">“AI is transforming industries at an unprecedented pace, and the power infrastructure must evolve just as quickly to meet the explosive power demands,” said </w:t>
      </w:r>
      <w:r>
        <w:rPr>
          <w:rFonts w:ascii="Arial" w:eastAsia="Arial" w:hAnsi="Arial" w:cs="Arial"/>
          <w:b/>
          <w:color w:val="000000"/>
          <w:sz w:val="22"/>
          <w:szCs w:val="22"/>
        </w:rPr>
        <w:t>Zaher Baidas, Senior Vice President and General Manager of Power at Renesas.</w:t>
      </w:r>
      <w:r>
        <w:rPr>
          <w:rFonts w:ascii="Arial" w:eastAsia="Arial" w:hAnsi="Arial" w:cs="Arial"/>
          <w:color w:val="000000"/>
          <w:sz w:val="22"/>
          <w:szCs w:val="22"/>
        </w:rPr>
        <w:t xml:space="preserve"> “Renesas is helping power the future of AI with high-density energy solutions built for scale, supported by our full portfolio of GaN FETs, MOSFETs, controllers and drivers. These innovations will deliver performance and efficiency, with the scalability required for future growth.”  </w:t>
      </w:r>
    </w:p>
    <w:p w14:paraId="6BBEDCFC" w14:textId="77777777" w:rsidR="00D37782" w:rsidRDefault="00D37782">
      <w:pPr>
        <w:pBdr>
          <w:top w:val="nil"/>
          <w:left w:val="nil"/>
          <w:bottom w:val="nil"/>
          <w:right w:val="nil"/>
          <w:between w:val="nil"/>
        </w:pBdr>
        <w:rPr>
          <w:rFonts w:ascii="Arial" w:eastAsia="Arial" w:hAnsi="Arial" w:cs="Arial"/>
          <w:color w:val="000000"/>
          <w:sz w:val="22"/>
          <w:szCs w:val="22"/>
        </w:rPr>
      </w:pPr>
    </w:p>
    <w:p w14:paraId="25F4F3B8" w14:textId="0F3D1CDF" w:rsidR="00D37782" w:rsidRDefault="008C6F06">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Renesas has </w:t>
      </w:r>
      <w:r w:rsidRPr="00275187">
        <w:rPr>
          <w:rFonts w:ascii="Arial" w:eastAsia="Arial" w:hAnsi="Arial" w:cs="Arial"/>
          <w:color w:val="000000"/>
          <w:sz w:val="22"/>
          <w:szCs w:val="22"/>
        </w:rPr>
        <w:t xml:space="preserve">published </w:t>
      </w:r>
      <w:hyperlink r:id="rId10" w:history="1">
        <w:r w:rsidR="00D37782" w:rsidRPr="007B5229">
          <w:rPr>
            <w:rStyle w:val="Hyperlink"/>
            <w:rFonts w:ascii="Arial" w:eastAsia="Arial" w:hAnsi="Arial" w:cs="Arial"/>
            <w:color w:val="0070C0"/>
            <w:sz w:val="22"/>
            <w:szCs w:val="22"/>
          </w:rPr>
          <w:t>a white paper</w:t>
        </w:r>
      </w:hyperlink>
      <w:r w:rsidRPr="007B5229">
        <w:rPr>
          <w:rFonts w:ascii="Arial" w:eastAsia="Arial" w:hAnsi="Arial" w:cs="Arial"/>
          <w:color w:val="0070C0"/>
          <w:sz w:val="22"/>
          <w:szCs w:val="22"/>
        </w:rPr>
        <w:t xml:space="preserve"> </w:t>
      </w:r>
      <w:r>
        <w:rPr>
          <w:rFonts w:ascii="Arial" w:eastAsia="Arial" w:hAnsi="Arial" w:cs="Arial"/>
          <w:color w:val="000000"/>
          <w:sz w:val="22"/>
          <w:szCs w:val="22"/>
        </w:rPr>
        <w:t xml:space="preserve">that explores the topology of its devices supporting 800V power distribution in AI infrastructure. </w:t>
      </w:r>
    </w:p>
    <w:p w14:paraId="4136994F" w14:textId="77777777" w:rsidR="00D37782" w:rsidRDefault="00D37782">
      <w:pPr>
        <w:pBdr>
          <w:top w:val="nil"/>
          <w:left w:val="nil"/>
          <w:bottom w:val="nil"/>
          <w:right w:val="nil"/>
          <w:between w:val="nil"/>
        </w:pBdr>
        <w:rPr>
          <w:rFonts w:ascii="Consolas" w:eastAsia="Consolas" w:hAnsi="Consolas" w:cs="Consolas"/>
          <w:color w:val="000000"/>
          <w:sz w:val="21"/>
          <w:szCs w:val="21"/>
        </w:rPr>
      </w:pPr>
    </w:p>
    <w:p w14:paraId="66A43FC4" w14:textId="77777777" w:rsidR="00D37782" w:rsidRDefault="008C6F06">
      <w:pPr>
        <w:rPr>
          <w:rFonts w:ascii="Arial" w:eastAsia="Arial" w:hAnsi="Arial" w:cs="Arial"/>
          <w:b/>
          <w:color w:val="000000"/>
          <w:sz w:val="22"/>
          <w:szCs w:val="22"/>
        </w:rPr>
      </w:pPr>
      <w:r>
        <w:rPr>
          <w:rFonts w:ascii="Arial" w:eastAsia="Arial" w:hAnsi="Arial" w:cs="Arial"/>
          <w:b/>
          <w:color w:val="000000"/>
          <w:sz w:val="22"/>
          <w:szCs w:val="22"/>
        </w:rPr>
        <w:t>Renesas Power Management Leadership</w:t>
      </w:r>
    </w:p>
    <w:p w14:paraId="462F3AC3" w14:textId="761278E3" w:rsidR="00D37782" w:rsidRDefault="008C6F06">
      <w:pPr>
        <w:rPr>
          <w:rFonts w:ascii="Arial" w:eastAsia="Arial" w:hAnsi="Arial" w:cs="Arial"/>
          <w:color w:val="333333"/>
          <w:sz w:val="22"/>
          <w:szCs w:val="22"/>
        </w:rPr>
      </w:pPr>
      <w:r w:rsidRPr="00E10B1E">
        <w:rPr>
          <w:rFonts w:ascii="Arial" w:eastAsia="Arial" w:hAnsi="Arial" w:cs="Arial"/>
          <w:sz w:val="22"/>
          <w:szCs w:val="22"/>
        </w:rPr>
        <w:t xml:space="preserve">A world leader in power management ICs, Renesas ships more than 1.5 billion units per year, with increased shipments serving the computing industry, and the remainder supporting industrial and Internet of Things applications as well as data center and communications infrastructure. Renesas has the broadest portfolio of power management devices, delivering unmatched quality and efficiency with exceptional battery life. As a trusted supplier, Renesas has decades of experience designing power management ICs, backed by a dual-source production model, the industry’s most advanced process technology, and a vast network of more than 250 ecosystem partners. For more information about Renesas, visit </w:t>
      </w:r>
      <w:hyperlink r:id="rId11">
        <w:r w:rsidR="00D37782">
          <w:rPr>
            <w:rFonts w:ascii="Arial" w:eastAsia="Arial" w:hAnsi="Arial" w:cs="Arial"/>
            <w:color w:val="0563C1"/>
            <w:sz w:val="22"/>
            <w:szCs w:val="22"/>
            <w:u w:val="single"/>
          </w:rPr>
          <w:t>renesas.com/power</w:t>
        </w:r>
      </w:hyperlink>
      <w:r>
        <w:rPr>
          <w:rFonts w:ascii="Arial" w:eastAsia="Arial" w:hAnsi="Arial" w:cs="Arial"/>
          <w:color w:val="333333"/>
          <w:sz w:val="22"/>
          <w:szCs w:val="22"/>
          <w:highlight w:val="white"/>
        </w:rPr>
        <w:t>.</w:t>
      </w:r>
    </w:p>
    <w:p w14:paraId="57648AD9" w14:textId="77777777" w:rsidR="00435C99" w:rsidRDefault="00435C99">
      <w:pPr>
        <w:rPr>
          <w:rFonts w:ascii="Arial" w:eastAsia="Arial" w:hAnsi="Arial" w:cs="Arial"/>
          <w:color w:val="333333"/>
          <w:sz w:val="22"/>
          <w:szCs w:val="22"/>
        </w:rPr>
      </w:pPr>
    </w:p>
    <w:p w14:paraId="685B1B4F" w14:textId="77777777" w:rsidR="008C6F06" w:rsidRPr="008C6F06" w:rsidRDefault="008C6F06" w:rsidP="00E22BDB">
      <w:pPr>
        <w:pBdr>
          <w:top w:val="nil"/>
          <w:left w:val="nil"/>
          <w:bottom w:val="nil"/>
          <w:right w:val="nil"/>
          <w:between w:val="nil"/>
        </w:pBdr>
        <w:rPr>
          <w:rFonts w:ascii="Arial" w:hAnsi="Arial" w:cs="Arial"/>
          <w:color w:val="000000"/>
          <w:sz w:val="22"/>
          <w:szCs w:val="22"/>
          <w:highlight w:val="white"/>
          <w:lang w:eastAsia="ja-JP"/>
        </w:rPr>
      </w:pPr>
    </w:p>
    <w:p w14:paraId="6C4AD2F2" w14:textId="77777777" w:rsidR="00D37782" w:rsidRDefault="008C6F06" w:rsidP="00E22BDB">
      <w:pPr>
        <w:rPr>
          <w:rFonts w:ascii="Arial" w:eastAsia="Arial" w:hAnsi="Arial" w:cs="Arial"/>
          <w:b/>
          <w:color w:val="000000"/>
          <w:sz w:val="22"/>
          <w:szCs w:val="22"/>
        </w:rPr>
      </w:pPr>
      <w:bookmarkStart w:id="5" w:name="_Hlk211265120"/>
      <w:r>
        <w:rPr>
          <w:rFonts w:ascii="Arial" w:eastAsia="Arial" w:hAnsi="Arial" w:cs="Arial"/>
          <w:b/>
          <w:color w:val="000000"/>
          <w:sz w:val="22"/>
          <w:szCs w:val="22"/>
        </w:rPr>
        <w:t>About Renesas Electronics Corporation</w:t>
      </w:r>
    </w:p>
    <w:p w14:paraId="0D8B8DF8" w14:textId="77777777" w:rsidR="00D37782" w:rsidRDefault="008C6F06" w:rsidP="00E22BDB">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Renesas Electronics Corporation (</w:t>
      </w:r>
      <w:hyperlink r:id="rId12">
        <w:r w:rsidR="00D37782">
          <w:rPr>
            <w:rFonts w:ascii="Arial" w:eastAsia="Arial" w:hAnsi="Arial" w:cs="Arial"/>
            <w:color w:val="0563C1"/>
            <w:sz w:val="22"/>
            <w:szCs w:val="22"/>
            <w:u w:val="single"/>
          </w:rPr>
          <w:t>TSE: 6723</w:t>
        </w:r>
      </w:hyperlink>
      <w:r>
        <w:rPr>
          <w:rFonts w:ascii="Arial" w:eastAsia="Arial" w:hAnsi="Arial" w:cs="Arial"/>
          <w:color w:val="000000"/>
          <w:sz w:val="22"/>
          <w:szCs w:val="22"/>
        </w:rPr>
        <w:t xml:space="preserve">) empowers a safer, smarter and more sustainable future where technology helps make our lives easier. A leading global provider of microcontrollers, Renesas combines our expertise in embedded processing, analog, power and connectivity to deliver complete semiconductor solutions. These Winning Combinations accelerate time to market for automotive, industrial, infrastructure and IoT applications, enabling billions of connected, intelligent devices that enhance the way people work and live. Learn more at </w:t>
      </w:r>
      <w:hyperlink r:id="rId13">
        <w:r w:rsidR="00D37782">
          <w:rPr>
            <w:rFonts w:ascii="Arial" w:eastAsia="Arial" w:hAnsi="Arial" w:cs="Arial"/>
            <w:color w:val="0563C1"/>
            <w:sz w:val="22"/>
            <w:szCs w:val="22"/>
            <w:u w:val="single"/>
          </w:rPr>
          <w:t>renesas.com</w:t>
        </w:r>
      </w:hyperlink>
      <w:r>
        <w:rPr>
          <w:rFonts w:ascii="Arial" w:eastAsia="Arial" w:hAnsi="Arial" w:cs="Arial"/>
          <w:color w:val="000000"/>
          <w:sz w:val="22"/>
          <w:szCs w:val="22"/>
        </w:rPr>
        <w:t xml:space="preserve">. Follow us on </w:t>
      </w:r>
      <w:hyperlink r:id="rId14">
        <w:r w:rsidR="00D37782">
          <w:rPr>
            <w:rFonts w:ascii="Arial" w:eastAsia="Arial" w:hAnsi="Arial" w:cs="Arial"/>
            <w:color w:val="0563C1"/>
            <w:sz w:val="22"/>
            <w:szCs w:val="22"/>
            <w:u w:val="single"/>
          </w:rPr>
          <w:t>LinkedIn</w:t>
        </w:r>
      </w:hyperlink>
      <w:r>
        <w:rPr>
          <w:rFonts w:ascii="Arial" w:eastAsia="Arial" w:hAnsi="Arial" w:cs="Arial"/>
          <w:color w:val="000000"/>
          <w:sz w:val="22"/>
          <w:szCs w:val="22"/>
        </w:rPr>
        <w:t xml:space="preserve">, </w:t>
      </w:r>
      <w:hyperlink r:id="rId15">
        <w:r w:rsidR="00D37782">
          <w:rPr>
            <w:rFonts w:ascii="Arial" w:eastAsia="Arial" w:hAnsi="Arial" w:cs="Arial"/>
            <w:color w:val="0563C1"/>
            <w:sz w:val="22"/>
            <w:szCs w:val="22"/>
            <w:u w:val="single"/>
          </w:rPr>
          <w:t>Facebook</w:t>
        </w:r>
      </w:hyperlink>
      <w:r>
        <w:rPr>
          <w:rFonts w:ascii="Arial" w:eastAsia="Arial" w:hAnsi="Arial" w:cs="Arial"/>
          <w:color w:val="000000"/>
          <w:sz w:val="22"/>
          <w:szCs w:val="22"/>
        </w:rPr>
        <w:t xml:space="preserve">, </w:t>
      </w:r>
      <w:hyperlink r:id="rId16">
        <w:r w:rsidR="00D37782">
          <w:rPr>
            <w:rFonts w:ascii="Arial" w:eastAsia="Arial" w:hAnsi="Arial" w:cs="Arial"/>
            <w:color w:val="0563C1"/>
            <w:sz w:val="22"/>
            <w:szCs w:val="22"/>
            <w:u w:val="single"/>
          </w:rPr>
          <w:t>X</w:t>
        </w:r>
      </w:hyperlink>
      <w:r>
        <w:rPr>
          <w:rFonts w:ascii="Arial" w:eastAsia="Arial" w:hAnsi="Arial" w:cs="Arial"/>
          <w:color w:val="000000"/>
          <w:sz w:val="22"/>
          <w:szCs w:val="22"/>
        </w:rPr>
        <w:t xml:space="preserve">, </w:t>
      </w:r>
      <w:hyperlink r:id="rId17">
        <w:r w:rsidR="00D37782">
          <w:rPr>
            <w:rFonts w:ascii="Arial" w:eastAsia="Arial" w:hAnsi="Arial" w:cs="Arial"/>
            <w:color w:val="0563C1"/>
            <w:sz w:val="22"/>
            <w:szCs w:val="22"/>
            <w:u w:val="single"/>
          </w:rPr>
          <w:t>YouTube</w:t>
        </w:r>
      </w:hyperlink>
      <w:r>
        <w:rPr>
          <w:rFonts w:ascii="Arial" w:eastAsia="Arial" w:hAnsi="Arial" w:cs="Arial"/>
          <w:color w:val="000000"/>
          <w:sz w:val="22"/>
          <w:szCs w:val="22"/>
          <w:u w:val="single"/>
        </w:rPr>
        <w:t xml:space="preserve">, and </w:t>
      </w:r>
      <w:hyperlink r:id="rId18">
        <w:r w:rsidR="00D37782">
          <w:rPr>
            <w:rFonts w:ascii="Arial" w:eastAsia="Arial" w:hAnsi="Arial" w:cs="Arial"/>
            <w:color w:val="0563C1"/>
            <w:sz w:val="22"/>
            <w:szCs w:val="22"/>
            <w:u w:val="single"/>
          </w:rPr>
          <w:t>Instagram</w:t>
        </w:r>
      </w:hyperlink>
      <w:r>
        <w:rPr>
          <w:rFonts w:ascii="Arial" w:eastAsia="Arial" w:hAnsi="Arial" w:cs="Arial"/>
          <w:color w:val="000000"/>
          <w:sz w:val="22"/>
          <w:szCs w:val="22"/>
        </w:rPr>
        <w:t>. </w:t>
      </w:r>
    </w:p>
    <w:p w14:paraId="3DD226E8" w14:textId="77777777" w:rsidR="00D37782" w:rsidRDefault="00D37782" w:rsidP="00E22BDB">
      <w:pPr>
        <w:rPr>
          <w:rFonts w:ascii="Arial" w:eastAsia="Arial" w:hAnsi="Arial" w:cs="Arial"/>
          <w:sz w:val="22"/>
          <w:szCs w:val="22"/>
        </w:rPr>
      </w:pPr>
    </w:p>
    <w:bookmarkEnd w:id="5"/>
    <w:p w14:paraId="422B5485" w14:textId="77777777" w:rsidR="00D37782" w:rsidRDefault="008C6F06">
      <w:pPr>
        <w:jc w:val="center"/>
        <w:rPr>
          <w:rFonts w:ascii="Arial" w:eastAsia="Arial" w:hAnsi="Arial" w:cs="Arial"/>
          <w:color w:val="000000"/>
          <w:sz w:val="22"/>
          <w:szCs w:val="22"/>
        </w:rPr>
      </w:pPr>
      <w:r>
        <w:rPr>
          <w:rFonts w:ascii="Arial" w:eastAsia="Arial" w:hAnsi="Arial" w:cs="Arial"/>
          <w:color w:val="000000"/>
          <w:sz w:val="22"/>
          <w:szCs w:val="22"/>
        </w:rPr>
        <w:t>###</w:t>
      </w:r>
    </w:p>
    <w:p w14:paraId="71710247" w14:textId="77777777" w:rsidR="00435C99" w:rsidRDefault="00435C99">
      <w:pPr>
        <w:rPr>
          <w:rFonts w:ascii="Arial" w:eastAsia="Arial" w:hAnsi="Arial" w:cs="Arial"/>
          <w:color w:val="000000"/>
          <w:sz w:val="16"/>
          <w:szCs w:val="16"/>
          <w:highlight w:val="white"/>
        </w:rPr>
      </w:pPr>
    </w:p>
    <w:p w14:paraId="714A0750" w14:textId="77777777" w:rsidR="00435C99" w:rsidRDefault="00435C99">
      <w:pPr>
        <w:rPr>
          <w:rFonts w:ascii="Arial" w:eastAsia="Arial" w:hAnsi="Arial" w:cs="Arial"/>
          <w:color w:val="000000"/>
          <w:sz w:val="16"/>
          <w:szCs w:val="16"/>
          <w:highlight w:val="white"/>
        </w:rPr>
      </w:pPr>
    </w:p>
    <w:p w14:paraId="13563BAD" w14:textId="17715156" w:rsidR="00D37782" w:rsidRDefault="008C6F06">
      <w:pPr>
        <w:rPr>
          <w:rFonts w:ascii="Arial" w:eastAsia="Arial" w:hAnsi="Arial" w:cs="Arial"/>
          <w:sz w:val="16"/>
          <w:szCs w:val="16"/>
        </w:rPr>
      </w:pPr>
      <w:r>
        <w:rPr>
          <w:rFonts w:ascii="Arial" w:eastAsia="Arial" w:hAnsi="Arial" w:cs="Arial"/>
          <w:color w:val="000000"/>
          <w:sz w:val="16"/>
          <w:szCs w:val="16"/>
          <w:highlight w:val="white"/>
        </w:rPr>
        <w:t xml:space="preserve">(Remarks) </w:t>
      </w:r>
      <w:r>
        <w:rPr>
          <w:rFonts w:ascii="Arial" w:eastAsia="Arial" w:hAnsi="Arial" w:cs="Arial"/>
          <w:sz w:val="16"/>
          <w:szCs w:val="16"/>
        </w:rPr>
        <w:t>All names of products or services mentioned in this press release are trademarks or registered trademarks of their respective owners.</w:t>
      </w:r>
    </w:p>
    <w:p w14:paraId="2C39390A" w14:textId="77777777" w:rsidR="00095642" w:rsidRDefault="00095642">
      <w:pPr>
        <w:rPr>
          <w:rFonts w:ascii="Arial" w:eastAsia="Arial" w:hAnsi="Arial" w:cs="Arial"/>
          <w:sz w:val="16"/>
          <w:szCs w:val="16"/>
        </w:rPr>
      </w:pPr>
    </w:p>
    <w:p w14:paraId="1AE0F7A5" w14:textId="77777777" w:rsidR="00095642" w:rsidRDefault="00095642">
      <w:pPr>
        <w:rPr>
          <w:rFonts w:ascii="Arial" w:eastAsia="Arial" w:hAnsi="Arial" w:cs="Arial"/>
          <w:sz w:val="16"/>
          <w:szCs w:val="16"/>
        </w:rPr>
      </w:pPr>
    </w:p>
    <w:p w14:paraId="23F84E59" w14:textId="77777777" w:rsidR="00095642" w:rsidRDefault="00095642" w:rsidP="00095642">
      <w:pPr>
        <w:rPr>
          <w:rFonts w:ascii="Arial" w:eastAsia="Times New Roman" w:hAnsi="Arial" w:cs="Arial"/>
          <w:b/>
          <w:sz w:val="20"/>
          <w:lang w:val="en-US"/>
        </w:rPr>
      </w:pPr>
      <w:bookmarkStart w:id="6" w:name="_Hlk211265171"/>
    </w:p>
    <w:p w14:paraId="090C3645" w14:textId="77777777" w:rsidR="005109F3" w:rsidRPr="00095642" w:rsidRDefault="005109F3" w:rsidP="00095642">
      <w:pPr>
        <w:rPr>
          <w:rFonts w:ascii="Arial" w:eastAsia="Times New Roman" w:hAnsi="Arial" w:cs="Arial"/>
          <w:b/>
          <w:sz w:val="20"/>
          <w:lang w:val="en-US"/>
        </w:rPr>
      </w:pPr>
    </w:p>
    <w:p w14:paraId="07E26821" w14:textId="77777777" w:rsidR="00095642" w:rsidRPr="00095642" w:rsidRDefault="00095642" w:rsidP="00095642">
      <w:pPr>
        <w:rPr>
          <w:rFonts w:ascii="Arial" w:eastAsia="Times New Roman" w:hAnsi="Arial" w:cs="Arial"/>
          <w:b/>
          <w:sz w:val="20"/>
          <w:lang w:val="en-US"/>
        </w:rPr>
      </w:pPr>
      <w:r w:rsidRPr="00095642">
        <w:rPr>
          <w:rFonts w:ascii="Arial" w:eastAsia="Times New Roman" w:hAnsi="Arial" w:cs="Arial"/>
          <w:b/>
          <w:sz w:val="20"/>
          <w:lang w:val="en-US"/>
        </w:rPr>
        <w:t>Media contact for further information, text and graphics or to discuss feature article opportunities:</w:t>
      </w:r>
    </w:p>
    <w:p w14:paraId="13C16B85" w14:textId="77777777" w:rsidR="00095642" w:rsidRPr="00095642" w:rsidRDefault="00095642" w:rsidP="00095642">
      <w:pPr>
        <w:rPr>
          <w:rFonts w:ascii="Arial" w:eastAsia="Times New Roman" w:hAnsi="Arial" w:cs="Arial"/>
          <w:sz w:val="20"/>
          <w:lang w:val="en-US"/>
        </w:rPr>
      </w:pPr>
      <w:r w:rsidRPr="00095642">
        <w:rPr>
          <w:rFonts w:ascii="Arial" w:eastAsia="Times New Roman" w:hAnsi="Arial" w:cs="Arial"/>
          <w:sz w:val="20"/>
          <w:lang w:val="en-US"/>
        </w:rPr>
        <w:t>Alexandra Janetzko / Martin Stummer</w:t>
      </w:r>
    </w:p>
    <w:p w14:paraId="7E468343" w14:textId="77777777" w:rsidR="00095642" w:rsidRPr="00095642" w:rsidRDefault="00095642" w:rsidP="00095642">
      <w:pPr>
        <w:rPr>
          <w:rFonts w:ascii="Arial" w:eastAsia="Times New Roman" w:hAnsi="Arial" w:cs="Arial"/>
          <w:sz w:val="20"/>
          <w:lang w:val="en-US"/>
        </w:rPr>
      </w:pPr>
      <w:r w:rsidRPr="00095642">
        <w:rPr>
          <w:rFonts w:ascii="Arial" w:eastAsia="Times New Roman" w:hAnsi="Arial" w:cs="Arial"/>
          <w:sz w:val="20"/>
          <w:lang w:val="en-US"/>
        </w:rPr>
        <w:t>HBI Communication Helga Bailey GmbH</w:t>
      </w:r>
      <w:r w:rsidRPr="00095642">
        <w:rPr>
          <w:rFonts w:ascii="Arial" w:eastAsia="Times New Roman" w:hAnsi="Arial" w:cs="Arial"/>
          <w:b/>
          <w:bCs/>
          <w:sz w:val="20"/>
          <w:lang w:val="en-US"/>
        </w:rPr>
        <w:t xml:space="preserve"> </w:t>
      </w:r>
      <w:r w:rsidRPr="00095642">
        <w:rPr>
          <w:rFonts w:ascii="Arial" w:eastAsia="Times New Roman" w:hAnsi="Arial" w:cs="Arial"/>
          <w:sz w:val="20"/>
          <w:lang w:val="en-US"/>
        </w:rPr>
        <w:t>(PR agency), Hermann-Weinhauser-Str. 73, 81673 Munich, Germany</w:t>
      </w:r>
    </w:p>
    <w:p w14:paraId="72269926" w14:textId="77777777" w:rsidR="00095642" w:rsidRPr="00095642" w:rsidRDefault="00095642" w:rsidP="00095642">
      <w:pPr>
        <w:rPr>
          <w:rFonts w:ascii="Arial" w:eastAsia="Times New Roman" w:hAnsi="Arial" w:cs="Arial"/>
          <w:sz w:val="20"/>
          <w:lang w:val="en-US"/>
        </w:rPr>
      </w:pPr>
      <w:r w:rsidRPr="00095642">
        <w:rPr>
          <w:rFonts w:ascii="Arial" w:eastAsia="Times New Roman" w:hAnsi="Arial" w:cs="Arial"/>
          <w:sz w:val="20"/>
          <w:lang w:val="en-US"/>
        </w:rPr>
        <w:t>Tel.: +49 89 99 38 87-32 / -34</w:t>
      </w:r>
    </w:p>
    <w:p w14:paraId="4DCE31BA" w14:textId="77777777" w:rsidR="00095642" w:rsidRPr="00095642" w:rsidRDefault="00095642" w:rsidP="00095642">
      <w:pPr>
        <w:rPr>
          <w:rFonts w:ascii="Arial" w:eastAsia="Times New Roman" w:hAnsi="Arial" w:cs="Arial"/>
          <w:sz w:val="20"/>
          <w:lang w:val="en-US"/>
        </w:rPr>
      </w:pPr>
      <w:r w:rsidRPr="00095642">
        <w:rPr>
          <w:rFonts w:ascii="Arial" w:eastAsia="Times New Roman" w:hAnsi="Arial" w:cs="Arial"/>
          <w:sz w:val="20"/>
          <w:lang w:val="en-US"/>
        </w:rPr>
        <w:t xml:space="preserve">Email: </w:t>
      </w:r>
      <w:hyperlink r:id="rId19" w:history="1">
        <w:r w:rsidRPr="00095642">
          <w:rPr>
            <w:rFonts w:ascii="Arial" w:eastAsia="MS Gothic" w:hAnsi="Arial" w:cs="Times"/>
            <w:color w:val="0563C1"/>
            <w:sz w:val="20"/>
            <w:u w:val="single"/>
            <w:lang w:val="en-US"/>
          </w:rPr>
          <w:t>alexandra_janetzko@hbi.de</w:t>
        </w:r>
      </w:hyperlink>
      <w:r w:rsidRPr="00095642">
        <w:rPr>
          <w:rFonts w:ascii="Arial" w:eastAsia="Times New Roman" w:hAnsi="Arial" w:cs="Arial"/>
          <w:sz w:val="20"/>
          <w:lang w:val="en-US"/>
        </w:rPr>
        <w:t xml:space="preserve"> / </w:t>
      </w:r>
      <w:hyperlink r:id="rId20" w:history="1">
        <w:r w:rsidRPr="00095642">
          <w:rPr>
            <w:rFonts w:ascii="Arial" w:eastAsia="MS Gothic" w:hAnsi="Arial" w:cs="Arial"/>
            <w:color w:val="0563C1"/>
            <w:sz w:val="20"/>
            <w:u w:val="single"/>
            <w:lang w:val="en-US"/>
          </w:rPr>
          <w:t>martin_stummer@hbi.de</w:t>
        </w:r>
      </w:hyperlink>
    </w:p>
    <w:p w14:paraId="7A568E33" w14:textId="77777777" w:rsidR="00095642" w:rsidRPr="00095642" w:rsidRDefault="00095642" w:rsidP="00095642">
      <w:pPr>
        <w:rPr>
          <w:rFonts w:ascii="Calibri Light" w:eastAsia="Arial" w:hAnsi="Calibri Light" w:cs="Arial"/>
          <w:color w:val="000000"/>
          <w:sz w:val="22"/>
          <w:szCs w:val="22"/>
          <w:lang w:val="en-US"/>
        </w:rPr>
      </w:pPr>
      <w:r w:rsidRPr="00095642">
        <w:rPr>
          <w:rFonts w:ascii="Arial" w:eastAsia="Times New Roman" w:hAnsi="Arial" w:cs="Arial"/>
          <w:sz w:val="20"/>
          <w:lang w:val="en-US"/>
        </w:rPr>
        <w:t xml:space="preserve">Web: </w:t>
      </w:r>
      <w:hyperlink r:id="rId21" w:history="1">
        <w:r w:rsidRPr="00095642">
          <w:rPr>
            <w:rFonts w:ascii="Arial" w:eastAsia="MS Gothic" w:hAnsi="Arial" w:cs="Times"/>
            <w:color w:val="0563C1"/>
            <w:sz w:val="20"/>
            <w:u w:val="single"/>
            <w:lang w:val="en-US"/>
          </w:rPr>
          <w:t>www.hbi.de</w:t>
        </w:r>
      </w:hyperlink>
    </w:p>
    <w:p w14:paraId="1EAFC7BA" w14:textId="77777777" w:rsidR="00435C99" w:rsidRDefault="00435C99">
      <w:pPr>
        <w:rPr>
          <w:rFonts w:ascii="Calibri" w:eastAsia="Calibri" w:hAnsi="Calibri" w:cs="Calibri"/>
          <w:color w:val="000000"/>
          <w:sz w:val="22"/>
          <w:szCs w:val="22"/>
        </w:rPr>
      </w:pPr>
    </w:p>
    <w:p w14:paraId="1024E056" w14:textId="77777777" w:rsidR="00D37782" w:rsidRDefault="00D37782">
      <w:pPr>
        <w:rPr>
          <w:rFonts w:ascii="Calibri" w:eastAsia="Calibri" w:hAnsi="Calibri" w:cs="Calibri"/>
          <w:color w:val="000000"/>
          <w:sz w:val="22"/>
          <w:szCs w:val="22"/>
        </w:rPr>
      </w:pPr>
    </w:p>
    <w:bookmarkEnd w:id="6"/>
    <w:p w14:paraId="315B37CC" w14:textId="77777777" w:rsidR="00D37782" w:rsidRDefault="00D37782">
      <w:pPr>
        <w:rPr>
          <w:rFonts w:ascii="Calibri" w:eastAsia="Calibri" w:hAnsi="Calibri" w:cs="Calibri"/>
          <w:color w:val="000000"/>
          <w:sz w:val="22"/>
          <w:szCs w:val="22"/>
        </w:rPr>
      </w:pPr>
    </w:p>
    <w:p w14:paraId="1378623B" w14:textId="77777777" w:rsidR="00D37782" w:rsidRDefault="00D37782"/>
    <w:p w14:paraId="0C5D321A" w14:textId="77777777" w:rsidR="00D37782" w:rsidRDefault="00D37782"/>
    <w:p w14:paraId="6E57B98D" w14:textId="77777777" w:rsidR="00D37782" w:rsidRDefault="00D37782"/>
    <w:sectPr w:rsidR="00D37782">
      <w:headerReference w:type="default" r:id="rId22"/>
      <w:headerReference w:type="first" r:id="rId23"/>
      <w:pgSz w:w="11906" w:h="16838"/>
      <w:pgMar w:top="2232" w:right="720" w:bottom="1728" w:left="1872" w:header="850" w:footer="99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A104A" w14:textId="77777777" w:rsidR="006877D3" w:rsidRDefault="006877D3">
      <w:r>
        <w:separator/>
      </w:r>
    </w:p>
  </w:endnote>
  <w:endnote w:type="continuationSeparator" w:id="0">
    <w:p w14:paraId="2AECFC07" w14:textId="77777777" w:rsidR="006877D3" w:rsidRDefault="00687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C93F830D-8356-4B09-826F-5157071CC354}"/>
    <w:embedBold r:id="rId2" w:fontKey="{028C1EFD-06B9-482D-B5EE-91329367967F}"/>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3" w:fontKey="{7931756E-42EB-40DD-895E-6B08EFFB70CB}"/>
  </w:font>
  <w:font w:name="PMingLiU">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embedRegular r:id="rId4" w:fontKey="{3D1423CA-2BFB-4128-BC24-3A5F337CDC68}"/>
    <w:embedBold r:id="rId5" w:fontKey="{47F7DB20-E5DB-4FBA-A817-B16E6B071C1E}"/>
  </w:font>
  <w:font w:name="Calibri Light">
    <w:panose1 w:val="020F0302020204030204"/>
    <w:charset w:val="00"/>
    <w:family w:val="swiss"/>
    <w:pitch w:val="variable"/>
    <w:sig w:usb0="E4002EFF" w:usb1="C200247B" w:usb2="00000009" w:usb3="00000000" w:csb0="000001FF" w:csb1="00000000"/>
    <w:embedRegular r:id="rId6" w:fontKey="{E03813D5-FFC1-4CFA-8A7A-C66B342235EF}"/>
  </w:font>
  <w:font w:name="Cambria">
    <w:panose1 w:val="02040503050406030204"/>
    <w:charset w:val="00"/>
    <w:family w:val="roman"/>
    <w:pitch w:val="variable"/>
    <w:sig w:usb0="E00006FF" w:usb1="420024FF" w:usb2="02000000" w:usb3="00000000" w:csb0="0000019F" w:csb1="00000000"/>
    <w:embedRegular r:id="rId7" w:fontKey="{EB4C7069-813C-4F68-A8DA-CACC0A0715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D117B" w14:textId="77777777" w:rsidR="006877D3" w:rsidRDefault="006877D3">
      <w:r>
        <w:separator/>
      </w:r>
    </w:p>
  </w:footnote>
  <w:footnote w:type="continuationSeparator" w:id="0">
    <w:p w14:paraId="10B5802F" w14:textId="77777777" w:rsidR="006877D3" w:rsidRDefault="00687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3F6B0" w14:textId="77777777" w:rsidR="00D37782" w:rsidRDefault="008C6F06">
    <w:pPr>
      <w:widowControl w:val="0"/>
      <w:pBdr>
        <w:top w:val="nil"/>
        <w:left w:val="nil"/>
        <w:bottom w:val="nil"/>
        <w:right w:val="nil"/>
        <w:between w:val="nil"/>
      </w:pBdr>
      <w:tabs>
        <w:tab w:val="center" w:pos="4252"/>
        <w:tab w:val="right" w:pos="8504"/>
      </w:tabs>
      <w:jc w:val="both"/>
      <w:rPr>
        <w:rFonts w:ascii="Times" w:eastAsia="Times" w:hAnsi="Times" w:cs="Times"/>
        <w:color w:val="000000"/>
      </w:rPr>
    </w:pPr>
    <w:r>
      <w:rPr>
        <w:rFonts w:ascii="Times" w:eastAsia="Times" w:hAnsi="Times" w:cs="Times"/>
        <w:noProof/>
        <w:color w:val="000000"/>
      </w:rPr>
      <mc:AlternateContent>
        <mc:Choice Requires="wps">
          <w:drawing>
            <wp:anchor distT="0" distB="0" distL="114300" distR="114300" simplePos="0" relativeHeight="251658240" behindDoc="0" locked="0" layoutInCell="1" hidden="0" allowOverlap="1" wp14:anchorId="2FB7D15E" wp14:editId="39E7DDE3">
              <wp:simplePos x="0" y="0"/>
              <wp:positionH relativeFrom="page">
                <wp:posOffset>-4761</wp:posOffset>
              </wp:positionH>
              <wp:positionV relativeFrom="page">
                <wp:posOffset>185738</wp:posOffset>
              </wp:positionV>
              <wp:extent cx="7569835" cy="261620"/>
              <wp:effectExtent l="0" t="0" r="0" b="0"/>
              <wp:wrapNone/>
              <wp:docPr id="2" name="Rectangle 2" descr="{&quot;HashCode&quot;:-54961284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53953"/>
                        <a:ext cx="7560310" cy="252095"/>
                      </a:xfrm>
                      <a:prstGeom prst="rect">
                        <a:avLst/>
                      </a:prstGeom>
                      <a:noFill/>
                      <a:ln>
                        <a:noFill/>
                      </a:ln>
                    </wps:spPr>
                    <wps:txbx>
                      <w:txbxContent>
                        <w:p w14:paraId="5F7809EA" w14:textId="77777777" w:rsidR="00D37782" w:rsidRDefault="00D37782">
                          <w:pPr>
                            <w:textDirection w:val="btLr"/>
                          </w:pPr>
                        </w:p>
                      </w:txbxContent>
                    </wps:txbx>
                    <wps:bodyPr spcFirstLastPara="1" wrap="square" lIns="254000" tIns="0" rIns="91425" bIns="0" anchor="t" anchorCtr="0">
                      <a:noAutofit/>
                    </wps:bodyPr>
                  </wps:wsp>
                </a:graphicData>
              </a:graphic>
            </wp:anchor>
          </w:drawing>
        </mc:Choice>
        <mc:Fallback>
          <w:pict>
            <v:rect w14:anchorId="2FB7D15E" id="Rectangle 2" o:spid="_x0000_s1026" alt="{&quot;HashCode&quot;:-549612842,&quot;Height&quot;:841.0,&quot;Width&quot;:595.0,&quot;Placement&quot;:&quot;Header&quot;,&quot;Index&quot;:&quot;Primary&quot;,&quot;Section&quot;:1,&quot;Top&quot;:0.0,&quot;Left&quot;:0.0}" style="position:absolute;left:0;text-align:left;margin-left:-.35pt;margin-top:14.65pt;width:596.05pt;height:20.6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" filled="f" stroked="f">
              <v:textbox inset="20pt,0,2.53958mm,0">
                <w:txbxContent>
                  <w:p w14:paraId="5F7809EA" w14:textId="77777777" w:rsidR="00D37782" w:rsidRDefault="00D37782">
                    <w:pPr>
                      <w:textDirection w:val="btLr"/>
                    </w:pPr>
                  </w:p>
                </w:txbxContent>
              </v:textbox>
              <w10:wrap anchorx="page" anchory="page"/>
            </v:rect>
          </w:pict>
        </mc:Fallback>
      </mc:AlternateContent>
    </w:r>
  </w:p>
  <w:p w14:paraId="3ECB820C" w14:textId="77777777" w:rsidR="00D37782" w:rsidRDefault="00D37782">
    <w:pPr>
      <w:widowControl w:val="0"/>
      <w:pBdr>
        <w:top w:val="nil"/>
        <w:left w:val="nil"/>
        <w:bottom w:val="nil"/>
        <w:right w:val="nil"/>
        <w:between w:val="nil"/>
      </w:pBdr>
      <w:tabs>
        <w:tab w:val="center" w:pos="4252"/>
        <w:tab w:val="right" w:pos="8504"/>
      </w:tabs>
      <w:jc w:val="both"/>
      <w:rPr>
        <w:rFonts w:ascii="Times" w:eastAsia="Times" w:hAnsi="Times" w:cs="Time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1AED4" w14:textId="77777777" w:rsidR="00D37782" w:rsidRDefault="008C6F06">
    <w:pPr>
      <w:widowControl w:val="0"/>
      <w:pBdr>
        <w:top w:val="nil"/>
        <w:left w:val="nil"/>
        <w:bottom w:val="nil"/>
        <w:right w:val="nil"/>
        <w:between w:val="nil"/>
      </w:pBdr>
      <w:tabs>
        <w:tab w:val="center" w:pos="4252"/>
        <w:tab w:val="right" w:pos="8504"/>
      </w:tabs>
      <w:jc w:val="both"/>
      <w:rPr>
        <w:rFonts w:ascii="Times" w:eastAsia="Times" w:hAnsi="Times" w:cs="Times"/>
        <w:b/>
        <w:color w:val="000000"/>
      </w:rPr>
    </w:pPr>
    <w:r>
      <w:rPr>
        <w:rFonts w:ascii="Times" w:eastAsia="Times" w:hAnsi="Times" w:cs="Times"/>
        <w:b/>
        <w:noProof/>
        <w:color w:val="FF0000"/>
      </w:rPr>
      <mc:AlternateContent>
        <mc:Choice Requires="wps">
          <w:drawing>
            <wp:anchor distT="0" distB="0" distL="114300" distR="114300" simplePos="0" relativeHeight="251659264" behindDoc="0" locked="0" layoutInCell="1" hidden="0" allowOverlap="1" wp14:anchorId="0F382609" wp14:editId="7817CF34">
              <wp:simplePos x="0" y="0"/>
              <wp:positionH relativeFrom="page">
                <wp:posOffset>-4761</wp:posOffset>
              </wp:positionH>
              <wp:positionV relativeFrom="page">
                <wp:posOffset>185738</wp:posOffset>
              </wp:positionV>
              <wp:extent cx="7569835" cy="261620"/>
              <wp:effectExtent l="0" t="0" r="0" b="0"/>
              <wp:wrapNone/>
              <wp:docPr id="3" name="Rectangle 3" descr="{&quot;HashCode&quot;:-54961284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53953"/>
                        <a:ext cx="7560310" cy="252095"/>
                      </a:xfrm>
                      <a:prstGeom prst="rect">
                        <a:avLst/>
                      </a:prstGeom>
                      <a:noFill/>
                      <a:ln>
                        <a:noFill/>
                      </a:ln>
                    </wps:spPr>
                    <wps:txbx>
                      <w:txbxContent>
                        <w:p w14:paraId="65E18AB9" w14:textId="77777777" w:rsidR="00D37782" w:rsidRDefault="00D37782">
                          <w:pPr>
                            <w:textDirection w:val="btLr"/>
                          </w:pPr>
                        </w:p>
                      </w:txbxContent>
                    </wps:txbx>
                    <wps:bodyPr spcFirstLastPara="1" wrap="square" lIns="254000" tIns="0" rIns="91425" bIns="0" anchor="t" anchorCtr="0">
                      <a:noAutofit/>
                    </wps:bodyPr>
                  </wps:wsp>
                </a:graphicData>
              </a:graphic>
            </wp:anchor>
          </w:drawing>
        </mc:Choice>
        <mc:Fallback>
          <w:pict>
            <v:rect w14:anchorId="0F382609" id="Rectangle 3" o:spid="_x0000_s1027" alt="{&quot;HashCode&quot;:-549612842,&quot;Height&quot;:841.0,&quot;Width&quot;:595.0,&quot;Placement&quot;:&quot;Header&quot;,&quot;Index&quot;:&quot;FirstPage&quot;,&quot;Section&quot;:1,&quot;Top&quot;:0.0,&quot;Left&quot;:0.0}" style="position:absolute;left:0;text-align:left;margin-left:-.35pt;margin-top:14.65pt;width:596.05pt;height:20.6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" filled="f" stroked="f">
              <v:textbox inset="20pt,0,2.53958mm,0">
                <w:txbxContent>
                  <w:p w14:paraId="65E18AB9" w14:textId="77777777" w:rsidR="00D37782" w:rsidRDefault="00D37782">
                    <w:pPr>
                      <w:textDirection w:val="btLr"/>
                    </w:pPr>
                  </w:p>
                </w:txbxContent>
              </v:textbox>
              <w10:wrap anchorx="page" anchory="page"/>
            </v:rect>
          </w:pict>
        </mc:Fallback>
      </mc:AlternateContent>
    </w:r>
    <w:r>
      <w:rPr>
        <w:rFonts w:ascii="Times" w:eastAsia="Times" w:hAnsi="Times" w:cs="Times"/>
        <w:b/>
        <w:noProof/>
        <w:color w:val="FF0000"/>
      </w:rPr>
      <mc:AlternateContent>
        <mc:Choice Requires="wps">
          <w:drawing>
            <wp:anchor distT="0" distB="0" distL="114300" distR="114300" simplePos="0" relativeHeight="251660288" behindDoc="0" locked="0" layoutInCell="1" hidden="0" allowOverlap="1" wp14:anchorId="4474F6FA" wp14:editId="56339CAD">
              <wp:simplePos x="0" y="0"/>
              <wp:positionH relativeFrom="page">
                <wp:posOffset>1224280</wp:posOffset>
              </wp:positionH>
              <wp:positionV relativeFrom="page">
                <wp:posOffset>1217930</wp:posOffset>
              </wp:positionV>
              <wp:extent cx="583184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430080" y="3779683"/>
                        <a:ext cx="5831840" cy="6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49FF960E" id="_x0000_t32" coordsize="21600,21600" o:spt="32" o:oned="t" path="m,l21600,21600e" filled="f">
              <v:path arrowok="t" fillok="f" o:connecttype="none"/>
              <o:lock v:ext="edit" shapetype="t"/>
            </v:shapetype>
            <v:shape id="Straight Arrow Connector 1" o:spid="_x0000_s1026" type="#_x0000_t32" style="position:absolute;margin-left:96.4pt;margin-top:95.9pt;width:459.2pt;height:1pt;z-index:2516602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">
              <w10:wrap anchorx="page" anchory="page"/>
            </v:shape>
          </w:pict>
        </mc:Fallback>
      </mc:AlternateContent>
    </w:r>
    <w:r>
      <w:rPr>
        <w:rFonts w:ascii="Times" w:eastAsia="Times" w:hAnsi="Times" w:cs="Times"/>
        <w:b/>
        <w:noProof/>
        <w:color w:val="FF0000"/>
      </w:rPr>
      <w:drawing>
        <wp:anchor distT="0" distB="0" distL="114300" distR="114300" simplePos="0" relativeHeight="251661312" behindDoc="0" locked="0" layoutInCell="1" hidden="0" allowOverlap="1" wp14:anchorId="150E7A1C" wp14:editId="676F2ECE">
          <wp:simplePos x="0" y="0"/>
          <wp:positionH relativeFrom="page">
            <wp:posOffset>-33019</wp:posOffset>
          </wp:positionH>
          <wp:positionV relativeFrom="page">
            <wp:posOffset>-46989</wp:posOffset>
          </wp:positionV>
          <wp:extent cx="690880" cy="10749280"/>
          <wp:effectExtent l="0" t="0" r="0" b="0"/>
          <wp:wrapSquare wrapText="left" distT="0" distB="0" distL="114300" distR="114300"/>
          <wp:docPr id="5" name="image2.png" descr="news_bar"/>
          <wp:cNvGraphicFramePr/>
          <a:graphic xmlns:a="http://schemas.openxmlformats.org/drawingml/2006/main">
            <a:graphicData uri="http://schemas.openxmlformats.org/drawingml/2006/picture">
              <pic:pic xmlns:pic="http://schemas.openxmlformats.org/drawingml/2006/picture">
                <pic:nvPicPr>
                  <pic:cNvPr id="0" name="image2.png" descr="news_bar"/>
                  <pic:cNvPicPr preferRelativeResize="0"/>
                </pic:nvPicPr>
                <pic:blipFill>
                  <a:blip r:embed="rId1"/>
                  <a:srcRect/>
                  <a:stretch>
                    <a:fillRect/>
                  </a:stretch>
                </pic:blipFill>
                <pic:spPr>
                  <a:xfrm>
                    <a:off x="0" y="0"/>
                    <a:ext cx="690880" cy="1074928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F637C3D" wp14:editId="16A1FD1D">
          <wp:simplePos x="0" y="0"/>
          <wp:positionH relativeFrom="column">
            <wp:posOffset>3364229</wp:posOffset>
          </wp:positionH>
          <wp:positionV relativeFrom="paragraph">
            <wp:posOffset>-285749</wp:posOffset>
          </wp:positionV>
          <wp:extent cx="2600325" cy="533400"/>
          <wp:effectExtent l="0" t="0" r="0"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b="36651"/>
                  <a:stretch>
                    <a:fillRect/>
                  </a:stretch>
                </pic:blipFill>
                <pic:spPr>
                  <a:xfrm>
                    <a:off x="0" y="0"/>
                    <a:ext cx="2600325" cy="533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23534"/>
    <w:multiLevelType w:val="multilevel"/>
    <w:tmpl w:val="8D323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F93571F"/>
    <w:multiLevelType w:val="multilevel"/>
    <w:tmpl w:val="FBACB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831FC1"/>
    <w:multiLevelType w:val="multilevel"/>
    <w:tmpl w:val="C6D43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80724E"/>
    <w:multiLevelType w:val="multilevel"/>
    <w:tmpl w:val="F1828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0436594">
    <w:abstractNumId w:val="1"/>
  </w:num>
  <w:num w:numId="2" w16cid:durableId="829057763">
    <w:abstractNumId w:val="2"/>
  </w:num>
  <w:num w:numId="3" w16cid:durableId="1903903606">
    <w:abstractNumId w:val="0"/>
  </w:num>
  <w:num w:numId="4" w16cid:durableId="17775608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782"/>
    <w:rsid w:val="00095642"/>
    <w:rsid w:val="000E2E28"/>
    <w:rsid w:val="0010004E"/>
    <w:rsid w:val="00265431"/>
    <w:rsid w:val="00275187"/>
    <w:rsid w:val="00435C99"/>
    <w:rsid w:val="005109F3"/>
    <w:rsid w:val="005E4715"/>
    <w:rsid w:val="005E6370"/>
    <w:rsid w:val="006877D3"/>
    <w:rsid w:val="007231B9"/>
    <w:rsid w:val="007B5229"/>
    <w:rsid w:val="007D619B"/>
    <w:rsid w:val="008366D5"/>
    <w:rsid w:val="008C6F06"/>
    <w:rsid w:val="00AF0CFC"/>
    <w:rsid w:val="00B64FFB"/>
    <w:rsid w:val="00BD3FB8"/>
    <w:rsid w:val="00BF4F90"/>
    <w:rsid w:val="00D3150A"/>
    <w:rsid w:val="00D37782"/>
    <w:rsid w:val="00D77CAC"/>
    <w:rsid w:val="00D84F24"/>
    <w:rsid w:val="00E10B1E"/>
    <w:rsid w:val="00E22BDB"/>
    <w:rsid w:val="00FF1F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8D0B5"/>
  <w15:docId w15:val="{3853DF55-55B2-40EB-ACB1-3EDDD93CE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240"/>
      <w:outlineLvl w:val="0"/>
    </w:pPr>
    <w:rPr>
      <w:rFonts w:ascii="Calibri" w:eastAsia="Calibri" w:hAnsi="Calibri" w:cs="Calibri"/>
      <w:color w:val="2E75B5"/>
      <w:sz w:val="32"/>
      <w:szCs w:val="32"/>
    </w:rPr>
  </w:style>
  <w:style w:type="paragraph" w:styleId="berschrift2">
    <w:name w:val="heading 2"/>
    <w:basedOn w:val="Standard"/>
    <w:next w:val="Standard"/>
    <w:uiPriority w:val="9"/>
    <w:semiHidden/>
    <w:unhideWhenUsed/>
    <w:qFormat/>
    <w:pPr>
      <w:outlineLvl w:val="1"/>
    </w:pPr>
    <w:rPr>
      <w:rFonts w:ascii="MS PGothic" w:eastAsia="MS PGothic" w:hAnsi="MS PGothic" w:cs="MS PGothic"/>
      <w:b/>
      <w:sz w:val="36"/>
      <w:szCs w:val="36"/>
    </w:rPr>
  </w:style>
  <w:style w:type="paragraph" w:styleId="berschrift3">
    <w:name w:val="heading 3"/>
    <w:basedOn w:val="Standard"/>
    <w:next w:val="Standard"/>
    <w:uiPriority w:val="9"/>
    <w:semiHidden/>
    <w:unhideWhenUsed/>
    <w:qFormat/>
    <w:pPr>
      <w:keepNext/>
      <w:keepLines/>
      <w:spacing w:before="40"/>
      <w:outlineLvl w:val="2"/>
    </w:pPr>
    <w:rPr>
      <w:rFonts w:ascii="Calibri" w:eastAsia="Calibri" w:hAnsi="Calibri" w:cs="Calibri"/>
      <w:color w:val="1E4D7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before="240" w:after="120"/>
      <w:jc w:val="center"/>
    </w:pPr>
    <w:rPr>
      <w:rFonts w:ascii="Arial" w:eastAsia="Arial" w:hAnsi="Arial" w:cs="Arial"/>
      <w:sz w:val="32"/>
      <w:szCs w:val="32"/>
    </w:rPr>
  </w:style>
  <w:style w:type="paragraph" w:styleId="Untertitel">
    <w:name w:val="Subtitle"/>
    <w:basedOn w:val="Standard"/>
    <w:next w:val="Standard"/>
    <w:uiPriority w:val="11"/>
    <w:qFormat/>
    <w:pPr>
      <w:jc w:val="center"/>
    </w:pPr>
    <w:rPr>
      <w:rFonts w:ascii="Arial" w:eastAsia="Arial" w:hAnsi="Arial" w:cs="Arial"/>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0" w:type="dxa"/>
        <w:left w:w="115" w:type="dxa"/>
        <w:bottom w:w="0" w:type="dxa"/>
        <w:right w:w="115" w:type="dxa"/>
      </w:tblCellMar>
    </w:tbl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styleId="Hyperlink">
    <w:name w:val="Hyperlink"/>
    <w:basedOn w:val="Absatz-Standardschriftart"/>
    <w:uiPriority w:val="99"/>
    <w:unhideWhenUsed/>
    <w:rsid w:val="0010004E"/>
    <w:rPr>
      <w:color w:val="0000FF" w:themeColor="hyperlink"/>
      <w:u w:val="single"/>
    </w:rPr>
  </w:style>
  <w:style w:type="character" w:styleId="NichtaufgelsteErwhnung">
    <w:name w:val="Unresolved Mention"/>
    <w:basedOn w:val="Absatz-Standardschriftart"/>
    <w:uiPriority w:val="99"/>
    <w:semiHidden/>
    <w:unhideWhenUsed/>
    <w:rsid w:val="0010004E"/>
    <w:rPr>
      <w:color w:val="605E5C"/>
      <w:shd w:val="clear" w:color="auto" w:fill="E1DFDD"/>
    </w:rPr>
  </w:style>
  <w:style w:type="character" w:styleId="BesuchterLink">
    <w:name w:val="FollowedHyperlink"/>
    <w:basedOn w:val="Absatz-Standardschriftart"/>
    <w:uiPriority w:val="99"/>
    <w:semiHidden/>
    <w:unhideWhenUsed/>
    <w:rsid w:val="00275187"/>
    <w:rPr>
      <w:color w:val="800080" w:themeColor="followedHyperlink"/>
      <w:u w:val="single"/>
    </w:rPr>
  </w:style>
  <w:style w:type="paragraph" w:styleId="NurText">
    <w:name w:val="Plain Text"/>
    <w:basedOn w:val="Standard"/>
    <w:link w:val="NurTextZchn"/>
    <w:uiPriority w:val="99"/>
    <w:unhideWhenUsed/>
    <w:rsid w:val="00265431"/>
    <w:rPr>
      <w:rFonts w:ascii="Consolas" w:eastAsia="Calibri" w:hAnsi="Consolas"/>
      <w:sz w:val="21"/>
      <w:szCs w:val="21"/>
      <w:lang w:val="x-none" w:eastAsia="x-none"/>
    </w:rPr>
  </w:style>
  <w:style w:type="character" w:customStyle="1" w:styleId="NurTextZchn">
    <w:name w:val="Nur Text Zchn"/>
    <w:basedOn w:val="Absatz-Standardschriftart"/>
    <w:link w:val="NurText"/>
    <w:uiPriority w:val="99"/>
    <w:rsid w:val="00265431"/>
    <w:rPr>
      <w:rFonts w:ascii="Consolas" w:eastAsia="Calibri" w:hAnsi="Consolas"/>
      <w:sz w:val="21"/>
      <w:szCs w:val="21"/>
      <w:lang w:val="x-none" w:eastAsia="x-none"/>
    </w:rPr>
  </w:style>
  <w:style w:type="character" w:customStyle="1" w:styleId="field">
    <w:name w:val="field"/>
    <w:basedOn w:val="Absatz-Standardschriftart"/>
    <w:rsid w:val="00265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eveloper.nvidia.com/blog/nvidia-800-v-hvdc-architecture-will-power-the-next-generation-of-ai-factories/" TargetMode="External"/><Relationship Id="rId13" Type="http://schemas.openxmlformats.org/officeDocument/2006/relationships/hyperlink" Target="http://www.renesas.com/" TargetMode="External"/><Relationship Id="rId18" Type="http://schemas.openxmlformats.org/officeDocument/2006/relationships/hyperlink" Target="https://www.instagram.com/renesas_global/" TargetMode="External"/><Relationship Id="rId3" Type="http://schemas.openxmlformats.org/officeDocument/2006/relationships/styles" Target="styles.xml"/><Relationship Id="rId21" Type="http://schemas.openxmlformats.org/officeDocument/2006/relationships/hyperlink" Target="http://www.hbi.de/" TargetMode="External"/><Relationship Id="rId7" Type="http://schemas.openxmlformats.org/officeDocument/2006/relationships/endnotes" Target="endnotes.xml"/><Relationship Id="rId12" Type="http://schemas.openxmlformats.org/officeDocument/2006/relationships/hyperlink" Target="http://www.jpx.co.jp/english/" TargetMode="External"/><Relationship Id="rId17" Type="http://schemas.openxmlformats.org/officeDocument/2006/relationships/hyperlink" Target="https://www.youtube.com/user/RenesasPresent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witter.com/renesasglobal" TargetMode="External"/><Relationship Id="rId20" Type="http://schemas.openxmlformats.org/officeDocument/2006/relationships/hyperlink" Target="mailto:martin_stummer@hb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nesas.com/products/power-management?utm_campaign=power_branding-pwrp&amp;utm_source=businesswire&amp;utm_medium=pr&amp;utm_creative=link&amp;utm_content=pcp&amp;utm_term=nvidia&amp;utm_type=bran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RenesasElectronics/" TargetMode="External"/><Relationship Id="rId23" Type="http://schemas.openxmlformats.org/officeDocument/2006/relationships/header" Target="header2.xml"/><Relationship Id="rId10" Type="http://schemas.openxmlformats.org/officeDocument/2006/relationships/hyperlink" Target="https://www.renesas.com/document/whp/power-architecture-evolution-data-centers?utm_campaign=power_branding-pwrp&amp;utm_source=businesswire&amp;utm_medium=pr&amp;utm_creative=link&amp;utm_content=whp&amp;utm_term=nvidia&amp;utm_type=brand" TargetMode="External"/><Relationship Id="rId19" Type="http://schemas.openxmlformats.org/officeDocument/2006/relationships/hyperlink" Target="mailto:alexandra_janetzko@hbi.de" TargetMode="External"/><Relationship Id="rId4" Type="http://schemas.openxmlformats.org/officeDocument/2006/relationships/settings" Target="settings.xml"/><Relationship Id="rId9" Type="http://schemas.openxmlformats.org/officeDocument/2006/relationships/hyperlink" Target="https://www.renesas.com/products/power-management?utm_campaign=power_branding-pwrp&amp;utm_source=businesswire&amp;utm_medium=pr&amp;utm_creative=link&amp;utm_content=pcp&amp;utm_term=nvidia&amp;utm_type=brand" TargetMode="External"/><Relationship Id="rId14" Type="http://schemas.openxmlformats.org/officeDocument/2006/relationships/hyperlink" Target="https://www.linkedin.com/company/renesas/"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4043D-2867-4704-A781-27F24ABD4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833</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Alexandra Janetzko</cp:lastModifiedBy>
  <cp:revision>18</cp:revision>
  <dcterms:created xsi:type="dcterms:W3CDTF">2025-10-10T20:42:00Z</dcterms:created>
  <dcterms:modified xsi:type="dcterms:W3CDTF">2026-03-04T17:09:00Z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0x010100EF99779298E1CB4A9F1F3C7EC4E1DB27</vt:lpwstr>
  </property>
  <property fmtid="{D5CDD505-2E9C-101B-9397-08002B2CF9AE}" pid="3" name="MSIP_Label_4342314e-0df4-4b58-84bf-38bed6170a0f_Enabled">
    <vt:lpwstr>true</vt:lpwstr>
  </property>
  <property fmtid="{D5CDD505-2E9C-101B-9397-08002B2CF9AE}" pid="4" name="MSIP_Label_4342314e-0df4-4b58-84bf-38bed6170a0f_SetDate">
    <vt:lpwstr>2023-02-06T17:15:27Z</vt:lpwstr>
  </property>
  <property fmtid="{D5CDD505-2E9C-101B-9397-08002B2CF9AE}" pid="5" name="MSIP_Label_4342314e-0df4-4b58-84bf-38bed6170a0f_Method">
    <vt:lpwstr>Standard</vt:lpwstr>
  </property>
  <property fmtid="{D5CDD505-2E9C-101B-9397-08002B2CF9AE}" pid="6" name="MSIP_Label_4342314e-0df4-4b58-84bf-38bed6170a0f_Name">
    <vt:lpwstr>General</vt:lpwstr>
  </property>
  <property fmtid="{D5CDD505-2E9C-101B-9397-08002B2CF9AE}" pid="7" name="MSIP_Label_4342314e-0df4-4b58-84bf-38bed6170a0f_SiteId">
    <vt:lpwstr>3dd8961f-e488-4e60-8e11-a82d994e183d</vt:lpwstr>
  </property>
  <property fmtid="{D5CDD505-2E9C-101B-9397-08002B2CF9AE}" pid="8" name="MSIP_Label_4342314e-0df4-4b58-84bf-38bed6170a0f_ActionId">
    <vt:lpwstr>be914be6-dd62-46e8-ba1f-6db455133553</vt:lpwstr>
  </property>
  <property fmtid="{D5CDD505-2E9C-101B-9397-08002B2CF9AE}" pid="9" name="MSIP_Label_4342314e-0df4-4b58-84bf-38bed6170a0f_ContentBits">
    <vt:lpwstr>1</vt:lpwstr>
  </property>
  <property fmtid="{D5CDD505-2E9C-101B-9397-08002B2CF9AE}" pid="10" name="MediaServiceImageTags">
    <vt:lpwstr>MediaServiceImageTags</vt:lpwstr>
  </property>
  <property fmtid="{D5CDD505-2E9C-101B-9397-08002B2CF9AE}" pid="11" name="GrammarlyDocumentId">
    <vt:lpwstr>15756b0d5400954bd15452a4c1e874de0d2a2382f780811019ed5ee6dd3cf744</vt:lpwstr>
  </property>
</Properties>
</file>