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EB75" w14:textId="77777777" w:rsidR="00F4688B" w:rsidRPr="00103283" w:rsidRDefault="00F4688B" w:rsidP="00F4688B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103283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6808EAB4" w14:textId="3F1FBBD7" w:rsidR="00F4688B" w:rsidRPr="00103283" w:rsidRDefault="00F4688B" w:rsidP="00F4688B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303</w:t>
      </w: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0B8E5B44" w14:textId="77777777" w:rsidR="00F4688B" w:rsidRDefault="00F4688B" w:rsidP="000B775D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C7C8E" w14:textId="77777777" w:rsidR="00DF4556" w:rsidRPr="00F4688B" w:rsidRDefault="00DF4556" w:rsidP="000B775D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F4688B">
        <w:rPr>
          <w:rFonts w:ascii="Arial" w:hAnsi="Arial" w:cs="Arial"/>
          <w:b/>
          <w:bCs/>
          <w:sz w:val="28"/>
          <w:szCs w:val="28"/>
          <w:lang w:val="it-IT"/>
        </w:rPr>
        <w:t xml:space="preserve">I nuovi Intelligent Power Device per Automotive di Renesas </w:t>
      </w:r>
    </w:p>
    <w:p w14:paraId="12C2575C" w14:textId="52C4F883" w:rsidR="00DF4556" w:rsidRPr="00F4688B" w:rsidRDefault="00F4688B" w:rsidP="000B775D">
      <w:pPr>
        <w:snapToGrid w:val="0"/>
        <w:jc w:val="center"/>
        <w:rPr>
          <w:rFonts w:ascii="Arial" w:eastAsiaTheme="minorEastAsia" w:hAnsi="Arial" w:cs="Arial"/>
          <w:b/>
          <w:bCs/>
          <w:sz w:val="28"/>
          <w:szCs w:val="28"/>
          <w:lang w:val="it-IT" w:eastAsia="ja-JP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f</w:t>
      </w:r>
      <w:r w:rsidR="00DF4556" w:rsidRPr="00F4688B">
        <w:rPr>
          <w:rFonts w:ascii="Arial" w:hAnsi="Arial" w:cs="Arial"/>
          <w:b/>
          <w:bCs/>
          <w:sz w:val="28"/>
          <w:szCs w:val="28"/>
          <w:lang w:val="it-IT"/>
        </w:rPr>
        <w:t>lessibilit</w:t>
      </w:r>
      <w:r>
        <w:rPr>
          <w:rFonts w:ascii="Arial" w:hAnsi="Arial" w:cs="Arial"/>
          <w:b/>
          <w:bCs/>
          <w:sz w:val="28"/>
          <w:szCs w:val="28"/>
          <w:lang w:val="it-IT"/>
        </w:rPr>
        <w:t>à</w:t>
      </w:r>
      <w:r w:rsidR="00DF4556" w:rsidRPr="00F4688B">
        <w:rPr>
          <w:rFonts w:ascii="Arial" w:hAnsi="Arial" w:cs="Arial"/>
          <w:b/>
          <w:bCs/>
          <w:sz w:val="28"/>
          <w:szCs w:val="28"/>
          <w:lang w:val="it-IT"/>
        </w:rPr>
        <w:t xml:space="preserve"> e sicurezza nella distribuzione del</w:t>
      </w:r>
      <w:r w:rsidR="008A48EC" w:rsidRPr="00F4688B">
        <w:rPr>
          <w:rFonts w:ascii="Arial" w:hAnsi="Arial" w:cs="Arial"/>
          <w:b/>
          <w:bCs/>
          <w:sz w:val="28"/>
          <w:szCs w:val="28"/>
          <w:lang w:val="it-IT"/>
        </w:rPr>
        <w:t xml:space="preserve">l’alimentazione </w:t>
      </w:r>
      <w:r w:rsidR="00DF4556" w:rsidRPr="00F4688B">
        <w:rPr>
          <w:rFonts w:ascii="Arial" w:hAnsi="Arial" w:cs="Arial"/>
          <w:b/>
          <w:bCs/>
          <w:sz w:val="28"/>
          <w:szCs w:val="28"/>
          <w:lang w:val="it-IT"/>
        </w:rPr>
        <w:t xml:space="preserve">nelle prossime generazioni di architetture E/E </w:t>
      </w:r>
    </w:p>
    <w:p w14:paraId="39E0A770" w14:textId="77777777" w:rsidR="000B775D" w:rsidRPr="00F4688B" w:rsidRDefault="000B775D" w:rsidP="00FF765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BCD0B5C" w14:textId="1C7868B3" w:rsidR="00DF4556" w:rsidRPr="00F4688B" w:rsidRDefault="00DF4556" w:rsidP="00432047">
      <w:pPr>
        <w:snapToGrid w:val="0"/>
        <w:jc w:val="center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lang w:val="it-IT"/>
        </w:rPr>
        <w:t>I nuovi prodotti per il Power permettono una riduzione del 40% dell’area</w:t>
      </w:r>
    </w:p>
    <w:p w14:paraId="59D8133A" w14:textId="77777777" w:rsidR="00FF765E" w:rsidRPr="00F4688B" w:rsidRDefault="00FF765E" w:rsidP="006A038D">
      <w:pPr>
        <w:jc w:val="center"/>
        <w:rPr>
          <w:rFonts w:ascii="Arial" w:hAnsi="Arial" w:cs="Arial"/>
          <w:b/>
          <w:sz w:val="28"/>
          <w:lang w:val="it-IT"/>
        </w:rPr>
      </w:pPr>
    </w:p>
    <w:bookmarkEnd w:id="0"/>
    <w:p w14:paraId="76462265" w14:textId="65A13088" w:rsidR="00E26ABD" w:rsidRPr="00F4688B" w:rsidRDefault="00E26ABD" w:rsidP="00A77DB5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F4688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Düsseldorf, 17 gennaio 2023 ―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Renesas Electronics Corporation (TSE: 6723), uno dei principali fornitori di soluzioni avanzate di semiconduttori, ha annunciato oggi un nuovo dispositivo Intelligent Power Device (IPD) </w:t>
      </w:r>
      <w:r w:rsidR="00D11BCB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per automotive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controllerà in modo sicuro e flessibile la distribuzione dell'alimentazione all'interno dei veicoli, indirizzando i requisiti di architetture E/E (elettriche/elettroniche) di prossima generazione. Il nuovo RAJ2810024H12HPD è disponibile nel piccolo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package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TO-252-7 e riduce l'area di montaggio di circa il 40% rispetto al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più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convenzionale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package 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TO-263. Inoltre,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l’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avanzata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funzione 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misura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di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corrente del nuovo dispositivo consente un rilevamento altamente accurato di correnti anomale come la sovracorrente. Poiché il nuovo IPD rileva correnti anomale anche a bassi carichi, consente di progettare sistemi di controllo dell'alimentazione altamente sicuri e precisi</w:t>
      </w:r>
      <w:r w:rsidR="001F2B80"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F4688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 grado di rilevare anche le più piccole anomalie.</w:t>
      </w:r>
    </w:p>
    <w:p w14:paraId="1DE8BE85" w14:textId="04C904C1" w:rsidR="00FF765E" w:rsidRPr="00F4688B" w:rsidRDefault="00FF765E" w:rsidP="00FF765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C38D329" w14:textId="7A04E1ED" w:rsidR="00E26ABD" w:rsidRPr="00F4688B" w:rsidRDefault="00A77DB5" w:rsidP="00A77DB5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“</w:t>
      </w:r>
      <w:r w:rsidR="00E26ABD" w:rsidRPr="00F4688B">
        <w:rPr>
          <w:rFonts w:ascii="Arial" w:hAnsi="Arial" w:cs="Arial"/>
          <w:sz w:val="22"/>
          <w:szCs w:val="22"/>
          <w:lang w:val="it-IT"/>
        </w:rPr>
        <w:t xml:space="preserve">Con immenso piacere presentiamo una nuova generazione di IPDs per applicazioni automotive, basata sul nostro nuovo processo per MOSFET di </w:t>
      </w:r>
      <w:r w:rsidR="00850E5B">
        <w:rPr>
          <w:rFonts w:ascii="Arial" w:hAnsi="Arial" w:cs="Arial"/>
          <w:sz w:val="22"/>
          <w:szCs w:val="22"/>
          <w:lang w:val="it-IT"/>
        </w:rPr>
        <w:t>p</w:t>
      </w:r>
      <w:r w:rsidR="00E26ABD" w:rsidRPr="00F4688B">
        <w:rPr>
          <w:rFonts w:ascii="Arial" w:hAnsi="Arial" w:cs="Arial"/>
          <w:sz w:val="22"/>
          <w:szCs w:val="22"/>
          <w:lang w:val="it-IT"/>
        </w:rPr>
        <w:t>otenza</w:t>
      </w:r>
      <w:r w:rsidRPr="00F4688B">
        <w:rPr>
          <w:rFonts w:ascii="Arial" w:hAnsi="Arial" w:cs="Arial"/>
          <w:sz w:val="22"/>
          <w:szCs w:val="22"/>
          <w:lang w:val="it-IT"/>
        </w:rPr>
        <w:t>”,</w:t>
      </w:r>
      <w:r w:rsidR="00E26ABD" w:rsidRPr="00F4688B">
        <w:rPr>
          <w:rFonts w:ascii="Arial" w:hAnsi="Arial" w:cs="Arial"/>
          <w:sz w:val="22"/>
          <w:szCs w:val="22"/>
          <w:lang w:val="it-IT"/>
        </w:rPr>
        <w:t xml:space="preserve"> ha affermato </w:t>
      </w:r>
      <w:r w:rsidR="00E26ABD" w:rsidRPr="00F4688B">
        <w:rPr>
          <w:rFonts w:ascii="Arial" w:hAnsi="Arial" w:cs="Arial"/>
          <w:b/>
          <w:bCs/>
          <w:sz w:val="22"/>
          <w:szCs w:val="22"/>
          <w:lang w:val="it-IT"/>
        </w:rPr>
        <w:t>Akira Omichi, vicepresidente della divisione Automotive Analog Application di Renesas</w:t>
      </w:r>
      <w:r w:rsidR="00E26ABD" w:rsidRPr="00F4688B">
        <w:rPr>
          <w:rFonts w:ascii="Arial" w:hAnsi="Arial" w:cs="Arial"/>
          <w:sz w:val="22"/>
          <w:szCs w:val="22"/>
          <w:lang w:val="it-IT"/>
        </w:rPr>
        <w:t xml:space="preserve">. </w:t>
      </w:r>
      <w:r w:rsidRPr="00F4688B">
        <w:rPr>
          <w:rFonts w:ascii="Arial" w:hAnsi="Arial" w:cs="Arial"/>
          <w:sz w:val="22"/>
          <w:szCs w:val="22"/>
          <w:lang w:val="it-IT"/>
        </w:rPr>
        <w:t>“</w:t>
      </w:r>
      <w:r w:rsidR="00E26ABD" w:rsidRPr="00F4688B">
        <w:rPr>
          <w:rFonts w:ascii="Arial" w:hAnsi="Arial" w:cs="Arial"/>
          <w:sz w:val="22"/>
          <w:szCs w:val="22"/>
          <w:lang w:val="it-IT"/>
        </w:rPr>
        <w:t>Renesas continuerà a sviluppare IPDs che migliorano la sicurezza e l'affidabilità dei sistemi di alimentazione elettrica e facilitano lo sviluppo di sistema per i nostri clienti offrendo con i nostri microcontrollori, soluzioni system-level.</w:t>
      </w:r>
      <w:r w:rsidRPr="00F4688B">
        <w:rPr>
          <w:rFonts w:ascii="Arial" w:hAnsi="Arial" w:cs="Arial"/>
          <w:sz w:val="22"/>
          <w:szCs w:val="22"/>
          <w:lang w:val="it-IT"/>
        </w:rPr>
        <w:t>”</w:t>
      </w:r>
    </w:p>
    <w:p w14:paraId="783A4702" w14:textId="77777777" w:rsidR="00E26ABD" w:rsidRPr="00F4688B" w:rsidRDefault="00E26ABD" w:rsidP="00FF765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1D017BE" w14:textId="288EAF7E" w:rsidR="002B34BB" w:rsidRPr="00F4688B" w:rsidRDefault="002B34BB" w:rsidP="00FF765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Il nuovo IPD è stato sviluppato per indirizzare i crescenti requisiti delle architetture E/E che sono in continua evoluzione. In un'architettura distribuita convenzionale, l'alimentazione dalla batteria viene distribuita a ciascuna unità di controllo (ECU) tramite cavi lunghi e spessi che partono da una sola scatola di alimentazione costituita da relè meccanici e fusibili. Gli IPD hanno una durata maggiore e non sono soggetti a manutenzione rispetto ai tradizionali relè meccanici</w:t>
      </w:r>
      <w:r w:rsidR="00D11BCB" w:rsidRPr="00F4688B">
        <w:rPr>
          <w:rFonts w:ascii="Arial" w:hAnsi="Arial" w:cs="Arial"/>
          <w:sz w:val="22"/>
          <w:szCs w:val="22"/>
          <w:lang w:val="it-IT"/>
        </w:rPr>
        <w:t xml:space="preserve">, 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quindi possono essere posizionati ovunque nel veicolo. L'industria automobilistica si </w:t>
      </w:r>
      <w:r w:rsidR="000E4B71" w:rsidRPr="00F4688B">
        <w:rPr>
          <w:rFonts w:ascii="Arial" w:hAnsi="Arial" w:cs="Arial"/>
          <w:sz w:val="22"/>
          <w:szCs w:val="22"/>
          <w:lang w:val="it-IT"/>
        </w:rPr>
        <w:t>evolve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verso architetture E/E centralizzate</w:t>
      </w:r>
      <w:r w:rsidR="004B1F18" w:rsidRPr="00F4688B">
        <w:rPr>
          <w:rFonts w:ascii="Arial" w:hAnsi="Arial" w:cs="Arial"/>
          <w:sz w:val="22"/>
          <w:szCs w:val="22"/>
          <w:lang w:val="it-IT"/>
        </w:rPr>
        <w:t>,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orientate a zone</w:t>
      </w:r>
      <w:r w:rsidR="000E4B71" w:rsidRPr="00F4688B">
        <w:rPr>
          <w:rFonts w:ascii="Arial" w:hAnsi="Arial" w:cs="Arial"/>
          <w:sz w:val="22"/>
          <w:szCs w:val="22"/>
          <w:lang w:val="it-IT"/>
        </w:rPr>
        <w:t xml:space="preserve"> e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</w:t>
      </w:r>
      <w:r w:rsidR="000E4B71" w:rsidRPr="00F4688B">
        <w:rPr>
          <w:rFonts w:ascii="Arial" w:hAnsi="Arial" w:cs="Arial"/>
          <w:sz w:val="22"/>
          <w:szCs w:val="22"/>
          <w:lang w:val="it-IT"/>
        </w:rPr>
        <w:t xml:space="preserve">di conseguenza </w:t>
      </w:r>
      <w:r w:rsidRPr="00F4688B">
        <w:rPr>
          <w:rFonts w:ascii="Arial" w:hAnsi="Arial" w:cs="Arial"/>
          <w:sz w:val="22"/>
          <w:szCs w:val="22"/>
          <w:lang w:val="it-IT"/>
        </w:rPr>
        <w:t>gli IPD</w:t>
      </w:r>
      <w:r w:rsidR="000E4B71" w:rsidRPr="00F4688B">
        <w:rPr>
          <w:rFonts w:ascii="Arial" w:hAnsi="Arial" w:cs="Arial"/>
          <w:sz w:val="22"/>
          <w:szCs w:val="22"/>
          <w:lang w:val="it-IT"/>
        </w:rPr>
        <w:t>s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stanno diventando la scelta ideale per la creazione di reti di alimentazione efficienti e flessibili poiché </w:t>
      </w:r>
      <w:r w:rsidR="000E4B71" w:rsidRPr="00F4688B">
        <w:rPr>
          <w:rFonts w:ascii="Arial" w:hAnsi="Arial" w:cs="Arial"/>
          <w:sz w:val="22"/>
          <w:szCs w:val="22"/>
          <w:lang w:val="it-IT"/>
        </w:rPr>
        <w:t>permettono l’</w:t>
      </w:r>
      <w:r w:rsidRPr="00F4688B">
        <w:rPr>
          <w:rFonts w:ascii="Arial" w:hAnsi="Arial" w:cs="Arial"/>
          <w:sz w:val="22"/>
          <w:szCs w:val="22"/>
          <w:lang w:val="it-IT"/>
        </w:rPr>
        <w:t>u</w:t>
      </w:r>
      <w:r w:rsidR="000E4B71" w:rsidRPr="00F4688B">
        <w:rPr>
          <w:rFonts w:ascii="Arial" w:hAnsi="Arial" w:cs="Arial"/>
          <w:sz w:val="22"/>
          <w:szCs w:val="22"/>
          <w:lang w:val="it-IT"/>
        </w:rPr>
        <w:t>so di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cavi più corti e sottili. L'IPD di Renesas, in particolare, fornisce una soluzione più efficiente, più sicura e più piccola per il controllo della distribuzione dell'energia.</w:t>
      </w:r>
    </w:p>
    <w:p w14:paraId="301F8CAB" w14:textId="77777777" w:rsidR="002B34BB" w:rsidRPr="00F4688B" w:rsidRDefault="002B34BB" w:rsidP="00FF765E">
      <w:pPr>
        <w:snapToGrid w:val="0"/>
        <w:rPr>
          <w:rFonts w:ascii="Arial" w:hAnsi="Arial" w:cs="Arial"/>
          <w:color w:val="C00000"/>
          <w:sz w:val="28"/>
          <w:szCs w:val="28"/>
          <w:lang w:val="it-IT"/>
        </w:rPr>
      </w:pPr>
    </w:p>
    <w:p w14:paraId="7C22B216" w14:textId="7427407C" w:rsidR="00FF765E" w:rsidRPr="00F4688B" w:rsidRDefault="00F31155" w:rsidP="00FF765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F4688B">
        <w:rPr>
          <w:rFonts w:ascii="Arial" w:hAnsi="Arial" w:cs="Arial"/>
          <w:b/>
          <w:bCs/>
          <w:sz w:val="22"/>
          <w:szCs w:val="22"/>
          <w:lang w:val="it-IT"/>
        </w:rPr>
        <w:t>Caratteristiche principali del nuovo IPD</w:t>
      </w:r>
      <w:r w:rsidR="003F542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F4688B">
        <w:rPr>
          <w:rFonts w:ascii="Arial" w:hAnsi="Arial" w:cs="Arial"/>
          <w:b/>
          <w:bCs/>
          <w:sz w:val="22"/>
          <w:szCs w:val="22"/>
          <w:lang w:val="it-IT"/>
        </w:rPr>
        <w:t>(RAJ2810024H12HP</w:t>
      </w:r>
      <w:r w:rsidR="003F5424">
        <w:rPr>
          <w:rFonts w:ascii="Arial" w:hAnsi="Arial" w:cs="Arial"/>
          <w:b/>
          <w:bCs/>
          <w:sz w:val="22"/>
          <w:szCs w:val="22"/>
          <w:lang w:val="it-IT"/>
        </w:rPr>
        <w:t>D</w:t>
      </w:r>
      <w:r w:rsidRPr="00F4688B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14:paraId="322CBC8C" w14:textId="303C08F8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Singolo </w:t>
      </w:r>
      <w:r w:rsidR="005C359E" w:rsidRPr="00F4688B">
        <w:rPr>
          <w:rFonts w:ascii="Arial" w:hAnsi="Arial" w:cs="Arial"/>
          <w:sz w:val="22"/>
          <w:szCs w:val="22"/>
          <w:lang w:val="it-IT"/>
        </w:rPr>
        <w:t>canale, high</w:t>
      </w:r>
      <w:r w:rsidRPr="00F4688B">
        <w:rPr>
          <w:rFonts w:ascii="Arial" w:hAnsi="Arial" w:cs="Arial"/>
          <w:sz w:val="22"/>
          <w:szCs w:val="22"/>
          <w:lang w:val="it-IT"/>
        </w:rPr>
        <w:t>-side IPD</w:t>
      </w:r>
    </w:p>
    <w:p w14:paraId="794A0C17" w14:textId="654341D9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Package piccolo: TO-252-7 (6.10 x 6.50 mm: esclusi </w:t>
      </w:r>
      <w:r w:rsidR="00850E5B">
        <w:rPr>
          <w:rFonts w:ascii="Arial" w:hAnsi="Arial" w:cs="Arial"/>
          <w:sz w:val="22"/>
          <w:szCs w:val="22"/>
          <w:lang w:val="it-IT"/>
        </w:rPr>
        <w:t>i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pin)</w:t>
      </w:r>
    </w:p>
    <w:p w14:paraId="28BEC844" w14:textId="42B9FF5B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Bassa resistenza (Ron) di 2.3mΩ a 25°C (typ.)</w:t>
      </w:r>
    </w:p>
    <w:p w14:paraId="3A15A08F" w14:textId="1CF2D394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Misura di corrente altamente accurata a bassi carichi</w:t>
      </w:r>
    </w:p>
    <w:p w14:paraId="6ABD6F34" w14:textId="79CB13E0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Pompa di carica integrata</w:t>
      </w:r>
    </w:p>
    <w:p w14:paraId="00601541" w14:textId="4AEAA3FF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Feedback di Autodiagnosi tramite la misura della corrente di carico </w:t>
      </w:r>
    </w:p>
    <w:p w14:paraId="011C1FA8" w14:textId="63E287CB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Funzioni di protezione come carico in cortocircuito, </w:t>
      </w:r>
      <w:r w:rsidR="00A86434" w:rsidRPr="00F4688B">
        <w:rPr>
          <w:rFonts w:ascii="Arial" w:hAnsi="Arial" w:cs="Arial"/>
          <w:sz w:val="22"/>
          <w:szCs w:val="22"/>
          <w:lang w:val="it-IT"/>
        </w:rPr>
        <w:t>rilevamento surriscaldamento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, </w:t>
      </w:r>
      <w:r w:rsidR="00A86434" w:rsidRPr="00F4688B">
        <w:rPr>
          <w:rFonts w:ascii="Arial" w:hAnsi="Arial" w:cs="Arial"/>
          <w:sz w:val="22"/>
          <w:szCs w:val="22"/>
          <w:lang w:val="it-IT"/>
        </w:rPr>
        <w:t xml:space="preserve">misura </w:t>
      </w:r>
      <w:r w:rsidR="00A86434" w:rsidRPr="00F4688B">
        <w:rPr>
          <w:rFonts w:ascii="Arial" w:hAnsi="Arial" w:cs="Arial"/>
          <w:sz w:val="22"/>
          <w:szCs w:val="22"/>
          <w:lang w:val="it-IT"/>
        </w:rPr>
        <w:lastRenderedPageBreak/>
        <w:t>corrente di uscita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, </w:t>
      </w:r>
      <w:r w:rsidR="00A86434" w:rsidRPr="00F4688B">
        <w:rPr>
          <w:rFonts w:ascii="Arial" w:hAnsi="Arial" w:cs="Arial"/>
          <w:sz w:val="22"/>
          <w:szCs w:val="22"/>
          <w:lang w:val="it-IT"/>
        </w:rPr>
        <w:t>e GND interrotta</w:t>
      </w:r>
    </w:p>
    <w:p w14:paraId="2EF7169F" w14:textId="4D1DFB55" w:rsidR="00F31155" w:rsidRPr="00F4688B" w:rsidRDefault="00F31155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Suppor</w:t>
      </w:r>
      <w:r w:rsidR="00A86434" w:rsidRPr="00F4688B">
        <w:rPr>
          <w:rFonts w:ascii="Arial" w:hAnsi="Arial" w:cs="Arial"/>
          <w:sz w:val="22"/>
          <w:szCs w:val="22"/>
          <w:lang w:val="it-IT"/>
        </w:rPr>
        <w:t>ta l’interfacciamento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3.3V/5V</w:t>
      </w:r>
      <w:r w:rsidR="00A86434" w:rsidRPr="00F4688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82BA884" w14:textId="3614C60F" w:rsidR="00F31155" w:rsidRPr="00F4688B" w:rsidRDefault="00A86434" w:rsidP="00F31155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Bassa corrente di</w:t>
      </w:r>
      <w:r w:rsidR="00F31155" w:rsidRPr="00F4688B">
        <w:rPr>
          <w:rFonts w:ascii="Arial" w:hAnsi="Arial" w:cs="Arial"/>
          <w:sz w:val="22"/>
          <w:szCs w:val="22"/>
          <w:lang w:val="it-IT"/>
        </w:rPr>
        <w:t xml:space="preserve"> standby</w:t>
      </w:r>
    </w:p>
    <w:p w14:paraId="43C01AB7" w14:textId="77777777" w:rsidR="00A86434" w:rsidRPr="00F4688B" w:rsidRDefault="00A86434" w:rsidP="00FF765E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Protezione contro l'inversione di polarità della batteria con self-turn-on</w:t>
      </w:r>
    </w:p>
    <w:p w14:paraId="524F6377" w14:textId="002A6BA3" w:rsidR="00F31155" w:rsidRPr="00F4688B" w:rsidRDefault="00A86434" w:rsidP="00FF765E">
      <w:pPr>
        <w:pStyle w:val="Listenabsatz"/>
        <w:numPr>
          <w:ilvl w:val="0"/>
          <w:numId w:val="12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>Conforme agli standard automotive AEC-Q100 e RoHS</w:t>
      </w:r>
    </w:p>
    <w:p w14:paraId="666366FA" w14:textId="77777777" w:rsidR="00F31155" w:rsidRPr="00F4688B" w:rsidRDefault="00F31155" w:rsidP="00FF765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ED4EEFE" w14:textId="5D4824F0" w:rsidR="005C359E" w:rsidRPr="00F4688B" w:rsidRDefault="005C359E" w:rsidP="005C359E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b/>
          <w:bCs/>
          <w:sz w:val="22"/>
          <w:szCs w:val="22"/>
          <w:lang w:val="it-IT"/>
        </w:rPr>
        <w:t>Soluzione "Power Distribution Box con E-fuse"</w:t>
      </w:r>
    </w:p>
    <w:p w14:paraId="0D44DD8A" w14:textId="4C8C3CAC" w:rsidR="005C359E" w:rsidRPr="00F4688B" w:rsidRDefault="005C359E" w:rsidP="005C359E">
      <w:pPr>
        <w:snapToGrid w:val="0"/>
        <w:rPr>
          <w:rFonts w:ascii="Arial" w:hAnsi="Arial" w:cs="Arial"/>
          <w:color w:val="C00000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Renesas offre la soluzione </w:t>
      </w:r>
      <w:hyperlink r:id="rId11" w:history="1">
        <w:r w:rsidRPr="00F4688B">
          <w:rPr>
            <w:rStyle w:val="Hyperlink"/>
            <w:rFonts w:ascii="Arial" w:hAnsi="Arial" w:cs="Arial"/>
            <w:sz w:val="22"/>
            <w:szCs w:val="22"/>
            <w:lang w:val="it-IT"/>
          </w:rPr>
          <w:t>Power Distribution Box with E-fuse</w:t>
        </w:r>
      </w:hyperlink>
      <w:r w:rsidRPr="00F4688B">
        <w:rPr>
          <w:rFonts w:ascii="Arial" w:hAnsi="Arial" w:cs="Arial"/>
          <w:sz w:val="22"/>
          <w:szCs w:val="22"/>
          <w:lang w:val="it-IT"/>
        </w:rPr>
        <w:t xml:space="preserve"> utilizzando un IPD esistente. Sostituendo i fusibili convenzionali nella scatola </w:t>
      </w:r>
      <w:r w:rsidR="00757B69" w:rsidRPr="00F4688B">
        <w:rPr>
          <w:rFonts w:ascii="Arial" w:hAnsi="Arial" w:cs="Arial"/>
          <w:sz w:val="22"/>
          <w:szCs w:val="22"/>
          <w:lang w:val="it-IT"/>
        </w:rPr>
        <w:t>di alimentazione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con piccoli IPD e programmando le caratteristiche del fusibile nel microcontrollore, gli sviluppatori possono ottimizzare il cablaggio e migliorare l'affidabilità attraverso il monitoraggio della corrente. Questa soluzione fa parte delle </w:t>
      </w:r>
      <w:r w:rsidR="00757B69" w:rsidRPr="00F4688B">
        <w:rPr>
          <w:rFonts w:ascii="Arial" w:hAnsi="Arial" w:cs="Arial"/>
          <w:sz w:val="22"/>
          <w:szCs w:val="22"/>
          <w:lang w:val="it-IT"/>
        </w:rPr>
        <w:t>“Winning Combinations”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di Renesas, che combinano in modo ottimale dispositivi Renesas</w:t>
      </w:r>
      <w:r w:rsidR="0036760F" w:rsidRPr="00F4688B">
        <w:rPr>
          <w:rFonts w:ascii="Arial" w:hAnsi="Arial" w:cs="Arial"/>
          <w:sz w:val="22"/>
          <w:szCs w:val="22"/>
          <w:lang w:val="it-IT"/>
        </w:rPr>
        <w:t xml:space="preserve"> dalle diverse linee d</w:t>
      </w:r>
      <w:r w:rsidR="008C446E" w:rsidRPr="00F4688B">
        <w:rPr>
          <w:rFonts w:ascii="Arial" w:hAnsi="Arial" w:cs="Arial"/>
          <w:sz w:val="22"/>
          <w:szCs w:val="22"/>
          <w:lang w:val="it-IT"/>
        </w:rPr>
        <w:t xml:space="preserve">i prodotti </w:t>
      </w:r>
      <w:r w:rsidRPr="00F4688B">
        <w:rPr>
          <w:rFonts w:ascii="Arial" w:hAnsi="Arial" w:cs="Arial"/>
          <w:sz w:val="22"/>
          <w:szCs w:val="22"/>
          <w:lang w:val="it-IT"/>
        </w:rPr>
        <w:t>per ridurre i rischi di progettazione</w:t>
      </w:r>
      <w:r w:rsidR="008C446E" w:rsidRPr="00F4688B">
        <w:rPr>
          <w:rFonts w:ascii="Arial" w:hAnsi="Arial" w:cs="Arial"/>
          <w:sz w:val="22"/>
          <w:szCs w:val="22"/>
          <w:lang w:val="it-IT"/>
        </w:rPr>
        <w:t xml:space="preserve"> per gli utilizzatori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 e abbreviare il time-to-market. Renesas offre più di 300 altre </w:t>
      </w:r>
      <w:r w:rsidR="00757B69" w:rsidRPr="00F4688B">
        <w:rPr>
          <w:rFonts w:ascii="Arial" w:hAnsi="Arial" w:cs="Arial"/>
          <w:sz w:val="22"/>
          <w:szCs w:val="22"/>
          <w:lang w:val="it-IT"/>
        </w:rPr>
        <w:t xml:space="preserve">“Winning Combinations” 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con una vasta gamma di prodotti dal suo </w:t>
      </w:r>
      <w:r w:rsidR="0036760F" w:rsidRPr="00F4688B">
        <w:rPr>
          <w:rFonts w:ascii="Arial" w:hAnsi="Arial" w:cs="Arial"/>
          <w:sz w:val="22"/>
          <w:szCs w:val="22"/>
          <w:lang w:val="it-IT"/>
        </w:rPr>
        <w:t>portfolio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. Maggiori informazioni sono disponibili su: </w:t>
      </w:r>
      <w:hyperlink r:id="rId12" w:history="1">
        <w:r w:rsidR="00757B69" w:rsidRPr="00F4688B">
          <w:rPr>
            <w:rStyle w:val="Hyperlink"/>
            <w:rFonts w:ascii="Arial" w:eastAsiaTheme="majorEastAsia" w:hAnsi="Arial" w:cs="Arial"/>
            <w:sz w:val="22"/>
            <w:szCs w:val="22"/>
            <w:lang w:val="it-IT"/>
          </w:rPr>
          <w:t>http://www.renesas.com/win</w:t>
        </w:r>
      </w:hyperlink>
    </w:p>
    <w:p w14:paraId="09E212B7" w14:textId="77777777" w:rsidR="005C359E" w:rsidRPr="00F4688B" w:rsidRDefault="005C359E" w:rsidP="00035000">
      <w:pPr>
        <w:snapToGrid w:val="0"/>
        <w:rPr>
          <w:rFonts w:ascii="Arial" w:hAnsi="Arial" w:cs="Arial"/>
          <w:color w:val="C00000"/>
          <w:sz w:val="22"/>
          <w:szCs w:val="22"/>
          <w:lang w:val="it-IT"/>
        </w:rPr>
      </w:pPr>
    </w:p>
    <w:p w14:paraId="6B49061D" w14:textId="61C8DF1C" w:rsidR="00035000" w:rsidRPr="00F4688B" w:rsidRDefault="00035000" w:rsidP="00035000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F4688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C0A868C" w14:textId="61C60055" w:rsidR="005C66D9" w:rsidRPr="00F4688B" w:rsidRDefault="005C66D9" w:rsidP="005C66D9">
      <w:pPr>
        <w:snapToGrid w:val="0"/>
        <w:rPr>
          <w:rFonts w:ascii="Arial" w:hAnsi="Arial" w:cs="Arial"/>
          <w:color w:val="C00000"/>
          <w:sz w:val="22"/>
          <w:szCs w:val="22"/>
          <w:lang w:val="it-IT"/>
        </w:rPr>
      </w:pPr>
      <w:r w:rsidRPr="00F4688B">
        <w:rPr>
          <w:rFonts w:ascii="Arial" w:hAnsi="Arial" w:cs="Arial"/>
          <w:b/>
          <w:bCs/>
          <w:sz w:val="22"/>
          <w:szCs w:val="22"/>
          <w:lang w:val="it-IT"/>
        </w:rPr>
        <w:t>Disponibilità</w:t>
      </w:r>
      <w:r w:rsidRPr="00F4688B">
        <w:rPr>
          <w:rFonts w:ascii="Arial" w:hAnsi="Arial" w:cs="Arial"/>
          <w:b/>
          <w:bCs/>
          <w:sz w:val="22"/>
          <w:szCs w:val="22"/>
          <w:lang w:val="it-IT"/>
        </w:rPr>
        <w:br/>
      </w:r>
      <w:r w:rsidR="00850E5B">
        <w:rPr>
          <w:rFonts w:ascii="Arial" w:hAnsi="Arial" w:cs="Arial"/>
          <w:sz w:val="22"/>
          <w:lang w:val="it-IT"/>
        </w:rPr>
        <w:t xml:space="preserve">Il </w:t>
      </w:r>
      <w:r w:rsidRPr="00F4688B">
        <w:rPr>
          <w:rFonts w:ascii="Arial" w:hAnsi="Arial" w:cs="Arial"/>
          <w:sz w:val="22"/>
          <w:szCs w:val="22"/>
          <w:lang w:val="it-IT"/>
        </w:rPr>
        <w:t>RAJ2810024H12HPD</w:t>
      </w:r>
      <w:r w:rsidRPr="00F4688B">
        <w:rPr>
          <w:rFonts w:ascii="Arial" w:hAnsi="Arial" w:cs="Arial"/>
          <w:sz w:val="22"/>
          <w:lang w:val="it-IT"/>
        </w:rPr>
        <w:t xml:space="preserve"> </w:t>
      </w:r>
      <w:r w:rsidR="00D11BCB" w:rsidRPr="00F4688B">
        <w:rPr>
          <w:rFonts w:ascii="Arial" w:hAnsi="Arial" w:cs="Arial"/>
          <w:sz w:val="22"/>
          <w:lang w:val="it-IT"/>
        </w:rPr>
        <w:t>è</w:t>
      </w:r>
      <w:r w:rsidRPr="00F4688B">
        <w:rPr>
          <w:rFonts w:ascii="Arial" w:hAnsi="Arial" w:cs="Arial"/>
          <w:sz w:val="22"/>
          <w:lang w:val="it-IT"/>
        </w:rPr>
        <w:t xml:space="preserve"> </w:t>
      </w:r>
      <w:r w:rsidR="00D11BCB" w:rsidRPr="00F4688B">
        <w:rPr>
          <w:rFonts w:ascii="Arial" w:hAnsi="Arial" w:cs="Arial"/>
          <w:sz w:val="22"/>
          <w:lang w:val="it-IT"/>
        </w:rPr>
        <w:t>già</w:t>
      </w:r>
      <w:r w:rsidRPr="00F4688B">
        <w:rPr>
          <w:rFonts w:ascii="Arial" w:hAnsi="Arial" w:cs="Arial"/>
          <w:sz w:val="22"/>
          <w:lang w:val="it-IT"/>
        </w:rPr>
        <w:t xml:space="preserve"> oggi disponibile in campioni con la mass-production prevista</w:t>
      </w:r>
      <w:r w:rsidR="0010278B" w:rsidRPr="00F4688B">
        <w:rPr>
          <w:rFonts w:ascii="Arial" w:hAnsi="Arial" w:cs="Arial"/>
          <w:sz w:val="22"/>
          <w:lang w:val="it-IT"/>
        </w:rPr>
        <w:t xml:space="preserve"> per il primo trimestre 2024</w:t>
      </w:r>
      <w:r w:rsidRPr="00F4688B">
        <w:rPr>
          <w:rFonts w:ascii="Arial" w:hAnsi="Arial" w:cs="Arial"/>
          <w:sz w:val="22"/>
          <w:szCs w:val="22"/>
          <w:lang w:val="it-IT"/>
        </w:rPr>
        <w:t xml:space="preserve">. </w:t>
      </w:r>
      <w:r w:rsidR="0010278B" w:rsidRPr="00F4688B">
        <w:rPr>
          <w:rFonts w:ascii="Arial" w:hAnsi="Arial" w:cs="Arial"/>
          <w:sz w:val="22"/>
          <w:lang w:val="it-IT"/>
        </w:rPr>
        <w:t>Maggiori dettagli sul nuovo prodotto sono disponibili qui:</w:t>
      </w:r>
      <w:r w:rsidRPr="00F4688B">
        <w:rPr>
          <w:rFonts w:ascii="Arial" w:hAnsi="Arial" w:cs="Arial"/>
          <w:sz w:val="22"/>
          <w:lang w:val="it-IT"/>
        </w:rPr>
        <w:t xml:space="preserve"> </w:t>
      </w:r>
    </w:p>
    <w:p w14:paraId="154BEE32" w14:textId="77777777" w:rsidR="0051154C" w:rsidRPr="00A934CA" w:rsidRDefault="0051154C" w:rsidP="0051154C">
      <w:pPr>
        <w:snapToGrid w:val="0"/>
        <w:rPr>
          <w:rFonts w:ascii="Arial" w:hAnsi="Arial" w:cs="Arial"/>
          <w:sz w:val="22"/>
          <w:szCs w:val="22"/>
        </w:rPr>
      </w:pPr>
      <w:hyperlink r:id="rId13" w:history="1">
        <w:r w:rsidRPr="003B1367">
          <w:rPr>
            <w:rStyle w:val="Hyperlink"/>
            <w:rFonts w:ascii="Arial" w:hAnsi="Arial" w:cs="Arial"/>
            <w:sz w:val="22"/>
            <w:szCs w:val="22"/>
          </w:rPr>
          <w:t>https://www.renesas.com/products/a</w:t>
        </w:r>
        <w:r w:rsidRPr="003B1367">
          <w:rPr>
            <w:rStyle w:val="Hyperlink"/>
            <w:rFonts w:ascii="Arial" w:hAnsi="Arial" w:cs="Arial"/>
            <w:sz w:val="22"/>
            <w:szCs w:val="22"/>
          </w:rPr>
          <w:t>u</w:t>
        </w:r>
        <w:r w:rsidRPr="003B1367">
          <w:rPr>
            <w:rStyle w:val="Hyperlink"/>
            <w:rFonts w:ascii="Arial" w:hAnsi="Arial" w:cs="Arial"/>
            <w:sz w:val="22"/>
            <w:szCs w:val="22"/>
          </w:rPr>
          <w:t>tomotive-products/automotive-power-devices/automotive-protected-and-intelligent-power-devices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AD86C37" w14:textId="55360ADF" w:rsidR="005C66D9" w:rsidRPr="00F4688B" w:rsidRDefault="005C66D9" w:rsidP="005C66D9">
      <w:pPr>
        <w:snapToGrid w:val="0"/>
        <w:rPr>
          <w:rFonts w:ascii="Arial" w:hAnsi="Arial" w:cs="Arial"/>
          <w:color w:val="C00000"/>
          <w:sz w:val="22"/>
          <w:szCs w:val="22"/>
          <w:lang w:val="it-IT"/>
        </w:rPr>
      </w:pPr>
    </w:p>
    <w:p w14:paraId="0ECA58F1" w14:textId="77777777" w:rsidR="00F4688B" w:rsidRDefault="00F4688B" w:rsidP="00F4688B">
      <w:pPr>
        <w:snapToGrid w:val="0"/>
        <w:rPr>
          <w:rFonts w:ascii="Arial" w:hAnsi="Arial" w:cs="Arial"/>
          <w:sz w:val="22"/>
          <w:lang w:val="it-IT"/>
        </w:rPr>
      </w:pPr>
    </w:p>
    <w:p w14:paraId="03C2C2BD" w14:textId="77777777" w:rsidR="00F4688B" w:rsidRPr="00103283" w:rsidRDefault="00F4688B" w:rsidP="00F4688B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0328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61B56E14" w14:textId="77777777" w:rsidR="00F4688B" w:rsidRPr="00103283" w:rsidRDefault="00F4688B" w:rsidP="00F4688B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103283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4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Combinations,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5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03283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6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103283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10328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0" w:history="1">
        <w:r w:rsidRPr="0010328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>.</w:t>
      </w:r>
    </w:p>
    <w:p w14:paraId="084CCF8F" w14:textId="77777777" w:rsidR="00F4688B" w:rsidRPr="003C341B" w:rsidRDefault="00F4688B" w:rsidP="00F4688B">
      <w:pPr>
        <w:snapToGrid w:val="0"/>
        <w:rPr>
          <w:rFonts w:ascii="Arial" w:hAnsi="Arial" w:cs="Arial"/>
          <w:sz w:val="22"/>
          <w:lang w:val="it-IT"/>
        </w:rPr>
      </w:pPr>
    </w:p>
    <w:p w14:paraId="05C34FB5" w14:textId="77777777" w:rsidR="00F4688B" w:rsidRPr="0043570E" w:rsidRDefault="00F4688B" w:rsidP="00F4688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bookmarkEnd w:id="1"/>
    <w:p w14:paraId="7A90272B" w14:textId="77777777" w:rsidR="0069553B" w:rsidRDefault="0069553B" w:rsidP="0069553B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Pr="00F150C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47A18735" w14:textId="77777777" w:rsidR="00F4688B" w:rsidRPr="00103283" w:rsidRDefault="00F4688B" w:rsidP="00F4688B">
      <w:pPr>
        <w:rPr>
          <w:rFonts w:ascii="Arial" w:hAnsi="Arial"/>
          <w:color w:val="000000"/>
          <w:sz w:val="22"/>
        </w:rPr>
      </w:pPr>
    </w:p>
    <w:p w14:paraId="1ACCCF21" w14:textId="77777777" w:rsidR="00F4688B" w:rsidRPr="00103283" w:rsidRDefault="00F4688B" w:rsidP="00F4688B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3E32D46B" w14:textId="77777777" w:rsidR="00F4688B" w:rsidRPr="00103283" w:rsidRDefault="00F4688B" w:rsidP="00F4688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3F0BE5E3" w14:textId="77777777" w:rsidR="00F4688B" w:rsidRPr="00103283" w:rsidRDefault="00F4688B" w:rsidP="00F4688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HBI Helga Bailey GmbH (PR agency), Stefan-George-Ring 2, 81929 Munich, Germany</w:t>
      </w:r>
    </w:p>
    <w:p w14:paraId="467F0736" w14:textId="77777777" w:rsidR="00F4688B" w:rsidRPr="00103283" w:rsidRDefault="00F4688B" w:rsidP="00F4688B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124482FA" w14:textId="77777777" w:rsidR="00F4688B" w:rsidRPr="00103283" w:rsidRDefault="00F4688B" w:rsidP="00F4688B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1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2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ECB990A" w14:textId="706F7830" w:rsidR="00F4688B" w:rsidRPr="00E457EF" w:rsidRDefault="00F4688B" w:rsidP="00F4688B">
      <w:pPr>
        <w:widowControl w:val="0"/>
        <w:tabs>
          <w:tab w:val="left" w:pos="1680"/>
        </w:tabs>
        <w:rPr>
          <w:rFonts w:asciiTheme="majorHAnsi" w:hAnsiTheme="majorHAnsi"/>
          <w:color w:val="000000" w:themeColor="text1"/>
          <w:sz w:val="22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3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sectPr w:rsidR="00F4688B" w:rsidRPr="00E457EF" w:rsidSect="00EE7421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DE7A" w14:textId="77777777" w:rsidR="006C33B1" w:rsidRDefault="006C33B1" w:rsidP="00E457EF">
      <w:r>
        <w:separator/>
      </w:r>
    </w:p>
  </w:endnote>
  <w:endnote w:type="continuationSeparator" w:id="0">
    <w:p w14:paraId="4AFE6696" w14:textId="77777777" w:rsidR="006C33B1" w:rsidRDefault="006C33B1" w:rsidP="00E457EF">
      <w:r>
        <w:continuationSeparator/>
      </w:r>
    </w:p>
  </w:endnote>
  <w:endnote w:type="continuationNotice" w:id="1">
    <w:p w14:paraId="006DBFD5" w14:textId="77777777" w:rsidR="006C33B1" w:rsidRDefault="006C3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25A3" w14:textId="77777777" w:rsidR="006C33B1" w:rsidRDefault="006C33B1" w:rsidP="00E457EF">
      <w:r>
        <w:separator/>
      </w:r>
    </w:p>
  </w:footnote>
  <w:footnote w:type="continuationSeparator" w:id="0">
    <w:p w14:paraId="48F6466F" w14:textId="77777777" w:rsidR="006C33B1" w:rsidRDefault="006C33B1" w:rsidP="00E457EF">
      <w:r>
        <w:continuationSeparator/>
      </w:r>
    </w:p>
  </w:footnote>
  <w:footnote w:type="continuationNotice" w:id="1">
    <w:p w14:paraId="2CE56048" w14:textId="77777777" w:rsidR="006C33B1" w:rsidRDefault="006C3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4348F40A" w:rsidR="00E457EF" w:rsidRPr="003604C9" w:rsidRDefault="003B6D08">
    <w:pPr>
      <w:pStyle w:val="Kopfzeile"/>
      <w:rPr>
        <w:b/>
        <w:bCs/>
      </w:rPr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06FED"/>
    <w:multiLevelType w:val="hybridMultilevel"/>
    <w:tmpl w:val="05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B56B0D"/>
    <w:multiLevelType w:val="hybridMultilevel"/>
    <w:tmpl w:val="57D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BE26A9A"/>
    <w:multiLevelType w:val="hybridMultilevel"/>
    <w:tmpl w:val="7BFC1704"/>
    <w:lvl w:ilvl="0" w:tplc="3CF60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2498">
    <w:abstractNumId w:val="6"/>
  </w:num>
  <w:num w:numId="2" w16cid:durableId="1901747657">
    <w:abstractNumId w:val="4"/>
  </w:num>
  <w:num w:numId="3" w16cid:durableId="1191144979">
    <w:abstractNumId w:val="0"/>
  </w:num>
  <w:num w:numId="4" w16cid:durableId="486826063">
    <w:abstractNumId w:val="2"/>
  </w:num>
  <w:num w:numId="5" w16cid:durableId="492528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32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99204">
    <w:abstractNumId w:val="7"/>
  </w:num>
  <w:num w:numId="8" w16cid:durableId="1795293433">
    <w:abstractNumId w:val="9"/>
  </w:num>
  <w:num w:numId="9" w16cid:durableId="1472862618">
    <w:abstractNumId w:val="8"/>
  </w:num>
  <w:num w:numId="10" w16cid:durableId="63338384">
    <w:abstractNumId w:val="3"/>
  </w:num>
  <w:num w:numId="11" w16cid:durableId="1522665933">
    <w:abstractNumId w:val="5"/>
  </w:num>
  <w:num w:numId="12" w16cid:durableId="7409090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07D13"/>
    <w:rsid w:val="000101DA"/>
    <w:rsid w:val="00011012"/>
    <w:rsid w:val="000112BA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B6C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041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75D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D7B8A"/>
    <w:rsid w:val="000E05BE"/>
    <w:rsid w:val="000E11A2"/>
    <w:rsid w:val="000E1A0F"/>
    <w:rsid w:val="000E24ED"/>
    <w:rsid w:val="000E2F54"/>
    <w:rsid w:val="000E4745"/>
    <w:rsid w:val="000E4B71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278B"/>
    <w:rsid w:val="00103F4B"/>
    <w:rsid w:val="001042A0"/>
    <w:rsid w:val="0010568E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EF9"/>
    <w:rsid w:val="0012115C"/>
    <w:rsid w:val="00122384"/>
    <w:rsid w:val="00124652"/>
    <w:rsid w:val="00124F9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9A5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073"/>
    <w:rsid w:val="001654AF"/>
    <w:rsid w:val="00166039"/>
    <w:rsid w:val="0016609A"/>
    <w:rsid w:val="00166FDE"/>
    <w:rsid w:val="0016779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2B80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45A4"/>
    <w:rsid w:val="002049CC"/>
    <w:rsid w:val="00205136"/>
    <w:rsid w:val="00206426"/>
    <w:rsid w:val="00206835"/>
    <w:rsid w:val="002069DB"/>
    <w:rsid w:val="0020702E"/>
    <w:rsid w:val="00207C68"/>
    <w:rsid w:val="00207F9E"/>
    <w:rsid w:val="002114D0"/>
    <w:rsid w:val="00211EB2"/>
    <w:rsid w:val="0021266A"/>
    <w:rsid w:val="00212CF1"/>
    <w:rsid w:val="002132E2"/>
    <w:rsid w:val="002134B5"/>
    <w:rsid w:val="00213ABE"/>
    <w:rsid w:val="00213C3E"/>
    <w:rsid w:val="0021411A"/>
    <w:rsid w:val="002142E7"/>
    <w:rsid w:val="00214F9F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64B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34BB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B7C92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3AB8"/>
    <w:rsid w:val="002D4352"/>
    <w:rsid w:val="002D47ED"/>
    <w:rsid w:val="002D4A71"/>
    <w:rsid w:val="002D5197"/>
    <w:rsid w:val="002D5919"/>
    <w:rsid w:val="002D69A1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673"/>
    <w:rsid w:val="00321EC4"/>
    <w:rsid w:val="00321ED5"/>
    <w:rsid w:val="00321F5F"/>
    <w:rsid w:val="00322269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37844"/>
    <w:rsid w:val="00340D93"/>
    <w:rsid w:val="0034206D"/>
    <w:rsid w:val="00343056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7C4D"/>
    <w:rsid w:val="003604C9"/>
    <w:rsid w:val="00360739"/>
    <w:rsid w:val="00362874"/>
    <w:rsid w:val="00362C4B"/>
    <w:rsid w:val="00362EF8"/>
    <w:rsid w:val="003646B6"/>
    <w:rsid w:val="003668ED"/>
    <w:rsid w:val="003670D4"/>
    <w:rsid w:val="0036751C"/>
    <w:rsid w:val="0036760F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6BA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1367"/>
    <w:rsid w:val="003B1505"/>
    <w:rsid w:val="003B266E"/>
    <w:rsid w:val="003B2A6E"/>
    <w:rsid w:val="003B2AD5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42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54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047"/>
    <w:rsid w:val="004323F6"/>
    <w:rsid w:val="004328D0"/>
    <w:rsid w:val="004328D9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1DE2"/>
    <w:rsid w:val="004931CD"/>
    <w:rsid w:val="0049393F"/>
    <w:rsid w:val="004956E9"/>
    <w:rsid w:val="00495F44"/>
    <w:rsid w:val="0049618F"/>
    <w:rsid w:val="004967AC"/>
    <w:rsid w:val="004A00EA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693"/>
    <w:rsid w:val="004B1DEA"/>
    <w:rsid w:val="004B1F18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A3A"/>
    <w:rsid w:val="004F0E37"/>
    <w:rsid w:val="004F1096"/>
    <w:rsid w:val="004F114C"/>
    <w:rsid w:val="004F11E9"/>
    <w:rsid w:val="004F14DC"/>
    <w:rsid w:val="004F1D88"/>
    <w:rsid w:val="004F1F00"/>
    <w:rsid w:val="004F2626"/>
    <w:rsid w:val="004F2F18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54C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309"/>
    <w:rsid w:val="00536334"/>
    <w:rsid w:val="005367BF"/>
    <w:rsid w:val="005372D1"/>
    <w:rsid w:val="005377E6"/>
    <w:rsid w:val="00540C48"/>
    <w:rsid w:val="0054189B"/>
    <w:rsid w:val="005423EB"/>
    <w:rsid w:val="00542AF6"/>
    <w:rsid w:val="00543506"/>
    <w:rsid w:val="00545086"/>
    <w:rsid w:val="0054510B"/>
    <w:rsid w:val="0054513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4A7"/>
    <w:rsid w:val="0055351C"/>
    <w:rsid w:val="00555B28"/>
    <w:rsid w:val="00556DC2"/>
    <w:rsid w:val="00557511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59E"/>
    <w:rsid w:val="005C3801"/>
    <w:rsid w:val="005C38FE"/>
    <w:rsid w:val="005C3A71"/>
    <w:rsid w:val="005C3BA6"/>
    <w:rsid w:val="005C40A3"/>
    <w:rsid w:val="005C41D7"/>
    <w:rsid w:val="005C509E"/>
    <w:rsid w:val="005C51B9"/>
    <w:rsid w:val="005C66D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698E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470AE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53B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5B10"/>
    <w:rsid w:val="006B6119"/>
    <w:rsid w:val="006B7973"/>
    <w:rsid w:val="006B7C04"/>
    <w:rsid w:val="006B7D2C"/>
    <w:rsid w:val="006C2961"/>
    <w:rsid w:val="006C33B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009"/>
    <w:rsid w:val="006D1C23"/>
    <w:rsid w:val="006D1CD4"/>
    <w:rsid w:val="006D2AE7"/>
    <w:rsid w:val="006D31ED"/>
    <w:rsid w:val="006D4D35"/>
    <w:rsid w:val="006D626F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8F5"/>
    <w:rsid w:val="00704ABE"/>
    <w:rsid w:val="0070595A"/>
    <w:rsid w:val="007059A2"/>
    <w:rsid w:val="0071011B"/>
    <w:rsid w:val="00710BB2"/>
    <w:rsid w:val="00711A11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3C69"/>
    <w:rsid w:val="007542C8"/>
    <w:rsid w:val="00754AB3"/>
    <w:rsid w:val="00754CA7"/>
    <w:rsid w:val="00755CF8"/>
    <w:rsid w:val="00755FFF"/>
    <w:rsid w:val="0075624B"/>
    <w:rsid w:val="00757554"/>
    <w:rsid w:val="00757B69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69F3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7A3"/>
    <w:rsid w:val="0081134C"/>
    <w:rsid w:val="00811E54"/>
    <w:rsid w:val="008127E4"/>
    <w:rsid w:val="008140B8"/>
    <w:rsid w:val="00814CA1"/>
    <w:rsid w:val="008155B1"/>
    <w:rsid w:val="00815A56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71F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0E5B"/>
    <w:rsid w:val="008514A6"/>
    <w:rsid w:val="0085158B"/>
    <w:rsid w:val="00852398"/>
    <w:rsid w:val="00852766"/>
    <w:rsid w:val="008532F6"/>
    <w:rsid w:val="00853930"/>
    <w:rsid w:val="00853B89"/>
    <w:rsid w:val="00853F3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476"/>
    <w:rsid w:val="008757E5"/>
    <w:rsid w:val="00875F0D"/>
    <w:rsid w:val="00876674"/>
    <w:rsid w:val="00876749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5B33"/>
    <w:rsid w:val="00897FDE"/>
    <w:rsid w:val="008A0329"/>
    <w:rsid w:val="008A06DB"/>
    <w:rsid w:val="008A285F"/>
    <w:rsid w:val="008A3426"/>
    <w:rsid w:val="008A4705"/>
    <w:rsid w:val="008A48EC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7FA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46E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AA1"/>
    <w:rsid w:val="008F3F92"/>
    <w:rsid w:val="008F4106"/>
    <w:rsid w:val="008F5DB6"/>
    <w:rsid w:val="008F5EEE"/>
    <w:rsid w:val="008F796B"/>
    <w:rsid w:val="0090090F"/>
    <w:rsid w:val="00902315"/>
    <w:rsid w:val="00902E8C"/>
    <w:rsid w:val="009040FB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B97"/>
    <w:rsid w:val="009250A1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2DD3"/>
    <w:rsid w:val="00933AC3"/>
    <w:rsid w:val="009345BE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29C7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4B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428F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3CE3"/>
    <w:rsid w:val="009946D6"/>
    <w:rsid w:val="00995259"/>
    <w:rsid w:val="00995847"/>
    <w:rsid w:val="00995ED6"/>
    <w:rsid w:val="00997C0F"/>
    <w:rsid w:val="009A0503"/>
    <w:rsid w:val="009A071D"/>
    <w:rsid w:val="009A0760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1972"/>
    <w:rsid w:val="009B3048"/>
    <w:rsid w:val="009B334C"/>
    <w:rsid w:val="009B38E1"/>
    <w:rsid w:val="009B3A00"/>
    <w:rsid w:val="009B3A17"/>
    <w:rsid w:val="009B5A96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44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62A7"/>
    <w:rsid w:val="00A162FE"/>
    <w:rsid w:val="00A16ECD"/>
    <w:rsid w:val="00A17F61"/>
    <w:rsid w:val="00A20989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1D06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E1F"/>
    <w:rsid w:val="00A37ED2"/>
    <w:rsid w:val="00A37F56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27B"/>
    <w:rsid w:val="00A557C6"/>
    <w:rsid w:val="00A558C3"/>
    <w:rsid w:val="00A55C19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DB5"/>
    <w:rsid w:val="00A77F9E"/>
    <w:rsid w:val="00A813E1"/>
    <w:rsid w:val="00A82F89"/>
    <w:rsid w:val="00A8489F"/>
    <w:rsid w:val="00A85354"/>
    <w:rsid w:val="00A85F93"/>
    <w:rsid w:val="00A86434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68F2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FD2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60F"/>
    <w:rsid w:val="00BC4854"/>
    <w:rsid w:val="00BC4B82"/>
    <w:rsid w:val="00BD155F"/>
    <w:rsid w:val="00BD1AB1"/>
    <w:rsid w:val="00BD1B08"/>
    <w:rsid w:val="00BD2470"/>
    <w:rsid w:val="00BD42C8"/>
    <w:rsid w:val="00BD54B0"/>
    <w:rsid w:val="00BD61A3"/>
    <w:rsid w:val="00BD72CF"/>
    <w:rsid w:val="00BD79A4"/>
    <w:rsid w:val="00BE0239"/>
    <w:rsid w:val="00BE11AB"/>
    <w:rsid w:val="00BE14F6"/>
    <w:rsid w:val="00BE1795"/>
    <w:rsid w:val="00BE2CF4"/>
    <w:rsid w:val="00BE2F94"/>
    <w:rsid w:val="00BE32F2"/>
    <w:rsid w:val="00BE3946"/>
    <w:rsid w:val="00BE49C6"/>
    <w:rsid w:val="00BE55FD"/>
    <w:rsid w:val="00BE6403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49D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390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588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FF7"/>
    <w:rsid w:val="00C656BC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90D2B"/>
    <w:rsid w:val="00C90F4F"/>
    <w:rsid w:val="00C9162A"/>
    <w:rsid w:val="00C9227A"/>
    <w:rsid w:val="00C93513"/>
    <w:rsid w:val="00C9388E"/>
    <w:rsid w:val="00C93A60"/>
    <w:rsid w:val="00C94939"/>
    <w:rsid w:val="00C94C42"/>
    <w:rsid w:val="00C95140"/>
    <w:rsid w:val="00C95442"/>
    <w:rsid w:val="00C9557F"/>
    <w:rsid w:val="00C95BA2"/>
    <w:rsid w:val="00C96E06"/>
    <w:rsid w:val="00CA06B7"/>
    <w:rsid w:val="00CA10A6"/>
    <w:rsid w:val="00CA1C6B"/>
    <w:rsid w:val="00CA2090"/>
    <w:rsid w:val="00CA2EE7"/>
    <w:rsid w:val="00CA2F2E"/>
    <w:rsid w:val="00CA3ED5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FAA"/>
    <w:rsid w:val="00D01824"/>
    <w:rsid w:val="00D02ECA"/>
    <w:rsid w:val="00D0535E"/>
    <w:rsid w:val="00D05E65"/>
    <w:rsid w:val="00D07DC9"/>
    <w:rsid w:val="00D10D45"/>
    <w:rsid w:val="00D11BCB"/>
    <w:rsid w:val="00D1290E"/>
    <w:rsid w:val="00D12A72"/>
    <w:rsid w:val="00D13564"/>
    <w:rsid w:val="00D170F7"/>
    <w:rsid w:val="00D2060D"/>
    <w:rsid w:val="00D20CBE"/>
    <w:rsid w:val="00D21667"/>
    <w:rsid w:val="00D21778"/>
    <w:rsid w:val="00D21B4B"/>
    <w:rsid w:val="00D220B7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E27"/>
    <w:rsid w:val="00D36E84"/>
    <w:rsid w:val="00D374EB"/>
    <w:rsid w:val="00D4027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4E47"/>
    <w:rsid w:val="00D65250"/>
    <w:rsid w:val="00D66948"/>
    <w:rsid w:val="00D67209"/>
    <w:rsid w:val="00D67FED"/>
    <w:rsid w:val="00D70CE7"/>
    <w:rsid w:val="00D71ADB"/>
    <w:rsid w:val="00D727FB"/>
    <w:rsid w:val="00D72F4F"/>
    <w:rsid w:val="00D73771"/>
    <w:rsid w:val="00D74581"/>
    <w:rsid w:val="00D758C7"/>
    <w:rsid w:val="00D7597E"/>
    <w:rsid w:val="00D7676A"/>
    <w:rsid w:val="00D76C76"/>
    <w:rsid w:val="00D800D9"/>
    <w:rsid w:val="00D81114"/>
    <w:rsid w:val="00D81222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556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3A0F"/>
    <w:rsid w:val="00E0409D"/>
    <w:rsid w:val="00E04297"/>
    <w:rsid w:val="00E04CDE"/>
    <w:rsid w:val="00E05808"/>
    <w:rsid w:val="00E06CDC"/>
    <w:rsid w:val="00E074EB"/>
    <w:rsid w:val="00E0791F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6AB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67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6FAE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0C2"/>
    <w:rsid w:val="00F1563D"/>
    <w:rsid w:val="00F163BB"/>
    <w:rsid w:val="00F16427"/>
    <w:rsid w:val="00F16466"/>
    <w:rsid w:val="00F16ABC"/>
    <w:rsid w:val="00F175CF"/>
    <w:rsid w:val="00F17A3E"/>
    <w:rsid w:val="00F203BC"/>
    <w:rsid w:val="00F22F2C"/>
    <w:rsid w:val="00F235C2"/>
    <w:rsid w:val="00F23615"/>
    <w:rsid w:val="00F239B5"/>
    <w:rsid w:val="00F240EB"/>
    <w:rsid w:val="00F24C2C"/>
    <w:rsid w:val="00F24D44"/>
    <w:rsid w:val="00F255E6"/>
    <w:rsid w:val="00F273F6"/>
    <w:rsid w:val="00F27FC2"/>
    <w:rsid w:val="00F30033"/>
    <w:rsid w:val="00F31155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54DF"/>
    <w:rsid w:val="00F461D0"/>
    <w:rsid w:val="00F4688B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5FA7"/>
    <w:rsid w:val="00F9677B"/>
    <w:rsid w:val="00F96D38"/>
    <w:rsid w:val="00FA09ED"/>
    <w:rsid w:val="00FA0B02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6509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65E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automotive-products/automotive-power-devices/automotive-protected-and-intelligent-power-devices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nesas.com/win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automotive/gateway-domain-control/power-distribution-box-e-fus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enesas.com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17</cp:revision>
  <cp:lastPrinted>2022-08-02T07:53:00Z</cp:lastPrinted>
  <dcterms:created xsi:type="dcterms:W3CDTF">2023-01-09T14:15:00Z</dcterms:created>
  <dcterms:modified xsi:type="dcterms:W3CDTF">2023-01-16T20:40:00Z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</Properties>
</file>