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4E213" w14:textId="15D78E28" w:rsidR="00B838BA" w:rsidRPr="00B838BA" w:rsidRDefault="00B838BA" w:rsidP="00B838BA">
      <w:pPr>
        <w:spacing w:line="360" w:lineRule="auto"/>
        <w:jc w:val="both"/>
        <w:rPr>
          <w:b/>
          <w:lang w:val="x-none"/>
        </w:rPr>
      </w:pPr>
      <w:r w:rsidRPr="00B838BA">
        <w:rPr>
          <w:b/>
          <w:lang w:val="x-none"/>
        </w:rPr>
        <w:t xml:space="preserve">Betreff: BitSight Kommentar: </w:t>
      </w:r>
      <w:proofErr w:type="spellStart"/>
      <w:r w:rsidRPr="00B838BA">
        <w:rPr>
          <w:b/>
          <w:lang w:val="x-none"/>
        </w:rPr>
        <w:t>Bluekeep</w:t>
      </w:r>
      <w:proofErr w:type="spellEnd"/>
      <w:r w:rsidRPr="00B838BA">
        <w:rPr>
          <w:b/>
          <w:lang w:val="x-none"/>
        </w:rPr>
        <w:t xml:space="preserve"> Anfälligkeit </w:t>
      </w:r>
      <w:r w:rsidR="006A07D3">
        <w:rPr>
          <w:b/>
        </w:rPr>
        <w:t>und</w:t>
      </w:r>
      <w:r w:rsidR="006A07D3" w:rsidRPr="00B838BA">
        <w:rPr>
          <w:b/>
          <w:lang w:val="x-none"/>
        </w:rPr>
        <w:t xml:space="preserve"> Patch-</w:t>
      </w:r>
      <w:r w:rsidR="006A07D3">
        <w:rPr>
          <w:b/>
        </w:rPr>
        <w:t>Rate</w:t>
      </w:r>
      <w:r w:rsidR="006A07D3" w:rsidRPr="00B838BA">
        <w:rPr>
          <w:b/>
          <w:lang w:val="x-none"/>
        </w:rPr>
        <w:t xml:space="preserve"> </w:t>
      </w:r>
      <w:r w:rsidRPr="00B838BA">
        <w:rPr>
          <w:b/>
          <w:lang w:val="x-none"/>
        </w:rPr>
        <w:t xml:space="preserve">nach Ländern </w:t>
      </w:r>
      <w:r w:rsidR="006A07D3">
        <w:rPr>
          <w:b/>
        </w:rPr>
        <w:t>sowie</w:t>
      </w:r>
      <w:r w:rsidRPr="00B838BA">
        <w:rPr>
          <w:b/>
          <w:lang w:val="x-none"/>
        </w:rPr>
        <w:t xml:space="preserve"> Branchen weltweit</w:t>
      </w:r>
    </w:p>
    <w:p w14:paraId="17A1CF11" w14:textId="77777777" w:rsidR="00B838BA" w:rsidRPr="005264C0" w:rsidRDefault="00B838BA" w:rsidP="00B838BA">
      <w:pPr>
        <w:spacing w:line="360" w:lineRule="auto"/>
      </w:pPr>
    </w:p>
    <w:p w14:paraId="359182B0" w14:textId="77777777" w:rsidR="00B838BA" w:rsidRPr="005264C0" w:rsidRDefault="00B838BA" w:rsidP="00B838BA">
      <w:pPr>
        <w:spacing w:line="360" w:lineRule="auto"/>
      </w:pPr>
      <w:r w:rsidRPr="005264C0">
        <w:t>Sehr geehrte Damen und Herren,</w:t>
      </w:r>
    </w:p>
    <w:p w14:paraId="5C72773D" w14:textId="75458613" w:rsidR="00B838BA" w:rsidRDefault="00B838BA" w:rsidP="00B838BA">
      <w:pPr>
        <w:spacing w:line="360" w:lineRule="auto"/>
      </w:pPr>
      <w:r>
        <w:t xml:space="preserve">wie bei </w:t>
      </w:r>
      <w:proofErr w:type="spellStart"/>
      <w:r>
        <w:t>EternalBlue</w:t>
      </w:r>
      <w:proofErr w:type="spellEnd"/>
      <w:r>
        <w:t xml:space="preserve"> (in 2017 ausgenutzt durch </w:t>
      </w:r>
      <w:proofErr w:type="spellStart"/>
      <w:r>
        <w:t>WannaCry</w:t>
      </w:r>
      <w:proofErr w:type="spellEnd"/>
      <w:r>
        <w:t xml:space="preserve">) weist Microsoft auch bei </w:t>
      </w:r>
      <w:proofErr w:type="spellStart"/>
      <w:r>
        <w:t>Bluekeep</w:t>
      </w:r>
      <w:proofErr w:type="spellEnd"/>
      <w:r>
        <w:t xml:space="preserve"> auf die großen Risiken hin, die durch die Sicherheitslücke verursacht werden, und stellt einen Patch bereit. Der Patch wird jedoch länder- und branchenabhängig recht unterschiedlich ausgerollt. </w:t>
      </w:r>
    </w:p>
    <w:p w14:paraId="43226199" w14:textId="62BA566F" w:rsidR="00B838BA" w:rsidRPr="005264C0" w:rsidRDefault="00B838BA" w:rsidP="00B838BA">
      <w:pPr>
        <w:spacing w:line="360" w:lineRule="auto"/>
      </w:pPr>
      <w:r w:rsidRPr="005264C0">
        <w:t>I</w:t>
      </w:r>
      <w:r>
        <w:t>n der</w:t>
      </w:r>
      <w:r w:rsidRPr="005264C0">
        <w:t xml:space="preserve"> folgenden </w:t>
      </w:r>
      <w:r>
        <w:t xml:space="preserve">Dateneinsicht </w:t>
      </w:r>
      <w:r w:rsidRPr="005264C0">
        <w:t xml:space="preserve">stellt </w:t>
      </w:r>
      <w:hyperlink r:id="rId5" w:history="1">
        <w:r w:rsidRPr="005264C0">
          <w:rPr>
            <w:rStyle w:val="Hyperlink"/>
          </w:rPr>
          <w:t>BitSight</w:t>
        </w:r>
      </w:hyperlink>
      <w:r w:rsidRPr="005264C0">
        <w:t xml:space="preserve"> </w:t>
      </w:r>
      <w:r w:rsidR="006A07D3">
        <w:t xml:space="preserve">mit der </w:t>
      </w:r>
      <w:r w:rsidR="006A07D3" w:rsidRPr="006A07D3">
        <w:t xml:space="preserve">Dateneinsicht zur Windows-Schwachstelle </w:t>
      </w:r>
      <w:proofErr w:type="spellStart"/>
      <w:r w:rsidR="006A07D3" w:rsidRPr="006A07D3">
        <w:t>Bluekeep</w:t>
      </w:r>
      <w:proofErr w:type="spellEnd"/>
      <w:r w:rsidR="006A07D3" w:rsidRPr="006A07D3">
        <w:t xml:space="preserve"> (CVE-2019-0708)</w:t>
      </w:r>
      <w:r w:rsidR="006A07D3">
        <w:t xml:space="preserve"> </w:t>
      </w:r>
      <w:r w:rsidRPr="005264C0">
        <w:t xml:space="preserve">Details </w:t>
      </w:r>
      <w:r w:rsidR="006A07D3">
        <w:t xml:space="preserve">zur </w:t>
      </w:r>
      <w:proofErr w:type="spellStart"/>
      <w:r w:rsidR="006A07D3" w:rsidRPr="006A07D3">
        <w:t>Bluekeep</w:t>
      </w:r>
      <w:proofErr w:type="spellEnd"/>
      <w:r w:rsidR="006A07D3" w:rsidRPr="006A07D3">
        <w:t xml:space="preserve"> Anfälligkeit</w:t>
      </w:r>
      <w:r w:rsidR="006A07D3">
        <w:t xml:space="preserve"> sowie</w:t>
      </w:r>
      <w:r w:rsidR="006A07D3" w:rsidRPr="006A07D3">
        <w:t xml:space="preserve"> </w:t>
      </w:r>
      <w:r w:rsidR="006A07D3">
        <w:t xml:space="preserve">zur Patch-Rate vor und nennt </w:t>
      </w:r>
      <w:r w:rsidRPr="005264C0">
        <w:t xml:space="preserve">Gegenmaßnahmen, die Organisationen ergreifen können. </w:t>
      </w:r>
    </w:p>
    <w:p w14:paraId="1906FC42" w14:textId="6D9E16DA" w:rsidR="00B838BA" w:rsidRDefault="00B838BA" w:rsidP="00B838BA">
      <w:pPr>
        <w:spacing w:line="360" w:lineRule="auto"/>
      </w:pPr>
      <w:r w:rsidRPr="005264C0">
        <w:t>Wenn Sie Fragen haben oder an einem Interview bzw. Fachartikel interessiert sind, melden Sie sich gerne jederzeit!</w:t>
      </w:r>
    </w:p>
    <w:p w14:paraId="64DF9265" w14:textId="7000076D" w:rsidR="00B838BA" w:rsidRDefault="00B838BA" w:rsidP="00B838BA">
      <w:pPr>
        <w:spacing w:line="360" w:lineRule="auto"/>
      </w:pPr>
    </w:p>
    <w:p w14:paraId="5B5770C5" w14:textId="77777777" w:rsidR="006A07D3" w:rsidRDefault="006A07D3" w:rsidP="00B838BA">
      <w:pPr>
        <w:spacing w:line="360" w:lineRule="auto"/>
        <w:jc w:val="center"/>
        <w:rPr>
          <w:i/>
        </w:rPr>
      </w:pPr>
      <w:proofErr w:type="spellStart"/>
      <w:r w:rsidRPr="00B838BA">
        <w:rPr>
          <w:b/>
          <w:lang w:val="x-none"/>
        </w:rPr>
        <w:t>Bluekeep</w:t>
      </w:r>
      <w:proofErr w:type="spellEnd"/>
      <w:r w:rsidRPr="00B838BA">
        <w:rPr>
          <w:b/>
          <w:lang w:val="x-none"/>
        </w:rPr>
        <w:t xml:space="preserve"> Anfälligkeit </w:t>
      </w:r>
      <w:r>
        <w:rPr>
          <w:b/>
        </w:rPr>
        <w:t>und</w:t>
      </w:r>
      <w:r w:rsidRPr="00B838BA">
        <w:rPr>
          <w:b/>
          <w:lang w:val="x-none"/>
        </w:rPr>
        <w:t xml:space="preserve"> Patch-</w:t>
      </w:r>
      <w:r>
        <w:rPr>
          <w:b/>
        </w:rPr>
        <w:t>Rate</w:t>
      </w:r>
      <w:r w:rsidRPr="00B838BA">
        <w:rPr>
          <w:b/>
          <w:lang w:val="x-none"/>
        </w:rPr>
        <w:t xml:space="preserve"> nach Ländern </w:t>
      </w:r>
      <w:r>
        <w:rPr>
          <w:b/>
        </w:rPr>
        <w:t>sowie</w:t>
      </w:r>
      <w:r w:rsidRPr="00B838BA">
        <w:rPr>
          <w:b/>
          <w:lang w:val="x-none"/>
        </w:rPr>
        <w:t xml:space="preserve"> Branchen weltweit</w:t>
      </w:r>
      <w:r w:rsidRPr="005264C0">
        <w:rPr>
          <w:i/>
        </w:rPr>
        <w:t xml:space="preserve"> </w:t>
      </w:r>
    </w:p>
    <w:p w14:paraId="1C4A8B9C" w14:textId="71EAE4C6" w:rsidR="00B838BA" w:rsidRPr="005264C0" w:rsidRDefault="00B838BA" w:rsidP="00B838BA">
      <w:pPr>
        <w:spacing w:line="360" w:lineRule="auto"/>
        <w:jc w:val="center"/>
      </w:pPr>
      <w:bookmarkStart w:id="0" w:name="_GoBack"/>
      <w:bookmarkEnd w:id="0"/>
      <w:r w:rsidRPr="005264C0">
        <w:rPr>
          <w:i/>
        </w:rPr>
        <w:t>Von Patrick Steinmetz, DACH Sales, BitSight</w:t>
      </w:r>
      <w:r w:rsidRPr="005264C0">
        <w:t>.</w:t>
      </w:r>
    </w:p>
    <w:p w14:paraId="13130043" w14:textId="77777777" w:rsidR="00D200EE" w:rsidRDefault="00D200EE" w:rsidP="00D200EE">
      <w:pPr>
        <w:spacing w:line="360" w:lineRule="auto"/>
      </w:pPr>
      <w:r>
        <w:t xml:space="preserve">BitSight ist Anbieter von IT-Sicherheitsratings und betreibt über seine Tochterfirma </w:t>
      </w:r>
      <w:proofErr w:type="spellStart"/>
      <w:r>
        <w:t>AnubisNetworks</w:t>
      </w:r>
      <w:proofErr w:type="spellEnd"/>
      <w:r>
        <w:t xml:space="preserve"> das weltweit größte </w:t>
      </w:r>
      <w:proofErr w:type="spellStart"/>
      <w:r>
        <w:t>Sinkhole</w:t>
      </w:r>
      <w:proofErr w:type="spellEnd"/>
      <w:r>
        <w:t>.</w:t>
      </w:r>
    </w:p>
    <w:p w14:paraId="167C1B06" w14:textId="13071A11" w:rsidR="009C3403" w:rsidRDefault="009C3403" w:rsidP="00D200EE">
      <w:pPr>
        <w:spacing w:line="360" w:lineRule="auto"/>
      </w:pPr>
      <w:r>
        <w:t>Im Zusammenhang mit seinem Geschäftsmodell sammelt BitSight</w:t>
      </w:r>
      <w:r w:rsidRPr="009C3403">
        <w:t xml:space="preserve"> seit dem 31. Mai Informationen über die Exposition und den </w:t>
      </w:r>
      <w:r>
        <w:t>Sicherheitsstatus</w:t>
      </w:r>
      <w:r w:rsidRPr="009C3403">
        <w:t xml:space="preserve"> </w:t>
      </w:r>
      <w:r w:rsidR="003E2FC9" w:rsidRPr="00482B2E">
        <w:t>der Systeme</w:t>
      </w:r>
      <w:r w:rsidRPr="009C3403">
        <w:t xml:space="preserve">, die </w:t>
      </w:r>
      <w:r w:rsidR="001D15C7">
        <w:t xml:space="preserve">sich in Unternehmensnetzwerken befinden und </w:t>
      </w:r>
      <w:r w:rsidRPr="009C3403">
        <w:t xml:space="preserve">für </w:t>
      </w:r>
      <w:proofErr w:type="spellStart"/>
      <w:r w:rsidRPr="009C3403">
        <w:t>Blue</w:t>
      </w:r>
      <w:r w:rsidR="00B0107D">
        <w:t>k</w:t>
      </w:r>
      <w:r w:rsidRPr="009C3403">
        <w:t>eep</w:t>
      </w:r>
      <w:proofErr w:type="spellEnd"/>
      <w:r w:rsidRPr="009C3403">
        <w:t xml:space="preserve"> anfällig sind.</w:t>
      </w:r>
    </w:p>
    <w:p w14:paraId="348D4AE6" w14:textId="29FBEE96" w:rsidR="00E34514" w:rsidRDefault="009C3403" w:rsidP="009C3403">
      <w:pPr>
        <w:spacing w:line="360" w:lineRule="auto"/>
      </w:pPr>
      <w:r>
        <w:t>BitSight hat das Tool von Robert Graham in seine eigene Scan-Plattform integriert, um kontinuierlich nach anfälligen Systemen zu suchen</w:t>
      </w:r>
      <w:r w:rsidR="00E34514">
        <w:t>, und kann</w:t>
      </w:r>
      <w:r>
        <w:t xml:space="preserve"> die von Robert</w:t>
      </w:r>
      <w:r w:rsidR="00E34514">
        <w:t xml:space="preserve"> Graham </w:t>
      </w:r>
      <w:r w:rsidR="003F6450">
        <w:t xml:space="preserve">veröffentlichten Zahlen </w:t>
      </w:r>
      <w:r w:rsidR="00E34514">
        <w:t>bestätigen: Weltweit hat BitSight f</w:t>
      </w:r>
      <w:r>
        <w:t>ast eine Million</w:t>
      </w:r>
      <w:r w:rsidR="00E34514">
        <w:t>en</w:t>
      </w:r>
      <w:r>
        <w:t xml:space="preserve"> </w:t>
      </w:r>
      <w:r w:rsidR="00E34514">
        <w:t>Computer</w:t>
      </w:r>
      <w:r>
        <w:t xml:space="preserve"> mit Internetzugang </w:t>
      </w:r>
      <w:r w:rsidR="00E34514">
        <w:t xml:space="preserve">gefunden, die für die </w:t>
      </w:r>
      <w:r w:rsidR="00E34514" w:rsidRPr="00E34514">
        <w:t xml:space="preserve">Schwachstelle </w:t>
      </w:r>
      <w:proofErr w:type="spellStart"/>
      <w:r w:rsidR="00E34514" w:rsidRPr="00E34514">
        <w:t>Bluekeep</w:t>
      </w:r>
      <w:proofErr w:type="spellEnd"/>
      <w:r w:rsidR="00E34514" w:rsidRPr="00E34514">
        <w:t xml:space="preserve"> anfällig sind</w:t>
      </w:r>
      <w:r>
        <w:t xml:space="preserve">. </w:t>
      </w:r>
    </w:p>
    <w:p w14:paraId="01EDD2B2" w14:textId="746B1BAB" w:rsidR="00E34514" w:rsidRDefault="00E34514" w:rsidP="00E34514">
      <w:pPr>
        <w:spacing w:line="360" w:lineRule="auto"/>
        <w:jc w:val="center"/>
      </w:pPr>
      <w:r>
        <w:rPr>
          <w:noProof/>
        </w:rPr>
        <w:lastRenderedPageBreak/>
        <w:drawing>
          <wp:inline distT="0" distB="0" distL="0" distR="0" wp14:anchorId="4C116FC6" wp14:editId="0A710BA3">
            <wp:extent cx="3679479" cy="207822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95747" cy="2087412"/>
                    </a:xfrm>
                    <a:prstGeom prst="rect">
                      <a:avLst/>
                    </a:prstGeom>
                  </pic:spPr>
                </pic:pic>
              </a:graphicData>
            </a:graphic>
          </wp:inline>
        </w:drawing>
      </w:r>
    </w:p>
    <w:p w14:paraId="467AC012" w14:textId="77AD7DF6" w:rsidR="009C3403" w:rsidRDefault="009C3403" w:rsidP="009C3403">
      <w:pPr>
        <w:spacing w:line="360" w:lineRule="auto"/>
      </w:pPr>
      <w:r>
        <w:t>Systeme mit extern exponiertem RDP</w:t>
      </w:r>
      <w:r w:rsidR="003F6450">
        <w:t>, aber</w:t>
      </w:r>
      <w:r>
        <w:t xml:space="preserve"> mit aktivierter Network Level Authentication (NLA) waren </w:t>
      </w:r>
      <w:r w:rsidR="00E34514">
        <w:t xml:space="preserve">schon </w:t>
      </w:r>
      <w:r>
        <w:t>vor der Veröffentlichung des Patches nicht anfällig und bleiben geschützt.</w:t>
      </w:r>
    </w:p>
    <w:p w14:paraId="70EB321A" w14:textId="77777777" w:rsidR="00E34514" w:rsidRDefault="00E34514" w:rsidP="009C3403">
      <w:pPr>
        <w:spacing w:line="360" w:lineRule="auto"/>
      </w:pPr>
    </w:p>
    <w:p w14:paraId="6E275DFC" w14:textId="5AA73AC1" w:rsidR="009C3403" w:rsidRDefault="00E34514" w:rsidP="009C3403">
      <w:pPr>
        <w:spacing w:line="360" w:lineRule="auto"/>
      </w:pPr>
      <w:r>
        <w:t xml:space="preserve">BitSight hat die Anfälligkeit </w:t>
      </w:r>
      <w:r w:rsidRPr="009C3403">
        <w:t xml:space="preserve">für </w:t>
      </w:r>
      <w:proofErr w:type="spellStart"/>
      <w:r w:rsidRPr="009C3403">
        <w:t>Blue</w:t>
      </w:r>
      <w:r w:rsidR="00B0107D">
        <w:t>k</w:t>
      </w:r>
      <w:r w:rsidRPr="009C3403">
        <w:t>eep</w:t>
      </w:r>
      <w:proofErr w:type="spellEnd"/>
      <w:r>
        <w:t xml:space="preserve"> auch nach</w:t>
      </w:r>
      <w:r w:rsidR="009C3403">
        <w:t xml:space="preserve"> Ländern </w:t>
      </w:r>
      <w:r w:rsidR="003F6450">
        <w:t>aufgeschlüsselt</w:t>
      </w:r>
      <w:r w:rsidR="009C3403">
        <w:t xml:space="preserve">. Die folgende Grafik zeigt die 15 Länder mit der größten </w:t>
      </w:r>
      <w:r w:rsidR="00A716FF">
        <w:t xml:space="preserve">Gesamtzahl </w:t>
      </w:r>
      <w:r>
        <w:t xml:space="preserve">an </w:t>
      </w:r>
      <w:r w:rsidR="00A716FF">
        <w:t>Rechnern</w:t>
      </w:r>
      <w:r w:rsidR="009C3403">
        <w:t xml:space="preserve">, </w:t>
      </w:r>
      <w:r w:rsidR="00A716FF">
        <w:t xml:space="preserve">die für die Schwachstelle gefährdet waren, aber bereits gepatcht wurden (blau) und weiterhin gefährdeten, ungepatchten Systemen (rot). Systeme mit aktivierter </w:t>
      </w:r>
      <w:r w:rsidR="009C3403">
        <w:t>NLA</w:t>
      </w:r>
      <w:r w:rsidR="00A716FF">
        <w:t xml:space="preserve"> werden hier nicht mitgezählt. </w:t>
      </w:r>
    </w:p>
    <w:p w14:paraId="774D7884" w14:textId="6AEC095C" w:rsidR="009C3403" w:rsidRDefault="00A716FF" w:rsidP="00A716FF">
      <w:pPr>
        <w:spacing w:line="360" w:lineRule="auto"/>
      </w:pPr>
      <w:r>
        <w:rPr>
          <w:noProof/>
        </w:rPr>
        <w:drawing>
          <wp:inline distT="0" distB="0" distL="0" distR="0" wp14:anchorId="430FCCAB" wp14:editId="4D373C48">
            <wp:extent cx="5760720" cy="38252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825240"/>
                    </a:xfrm>
                    <a:prstGeom prst="rect">
                      <a:avLst/>
                    </a:prstGeom>
                  </pic:spPr>
                </pic:pic>
              </a:graphicData>
            </a:graphic>
          </wp:inline>
        </w:drawing>
      </w:r>
    </w:p>
    <w:p w14:paraId="62C06354" w14:textId="66338F54" w:rsidR="005C7269" w:rsidRDefault="005C7269" w:rsidP="00A716FF">
      <w:pPr>
        <w:spacing w:line="360" w:lineRule="auto"/>
      </w:pPr>
      <w:r>
        <w:t>Die</w:t>
      </w:r>
      <w:r w:rsidRPr="005C7269">
        <w:t xml:space="preserve"> folgende Grafik </w:t>
      </w:r>
      <w:r>
        <w:t>setzt die</w:t>
      </w:r>
      <w:r w:rsidRPr="005C7269">
        <w:t xml:space="preserve"> Anzahl der </w:t>
      </w:r>
      <w:r>
        <w:t xml:space="preserve">gefährdeten </w:t>
      </w:r>
      <w:r w:rsidRPr="005C7269">
        <w:t xml:space="preserve">Systeme </w:t>
      </w:r>
      <w:r>
        <w:t>(</w:t>
      </w:r>
      <w:r w:rsidRPr="005C7269">
        <w:t>ohne NLA</w:t>
      </w:r>
      <w:r>
        <w:t xml:space="preserve">) mit </w:t>
      </w:r>
      <w:r w:rsidRPr="005C7269">
        <w:t xml:space="preserve">der </w:t>
      </w:r>
      <w:r>
        <w:t>Anzahl der g</w:t>
      </w:r>
      <w:r w:rsidRPr="005C7269">
        <w:t xml:space="preserve">epatchten Systeme </w:t>
      </w:r>
      <w:r>
        <w:t>ins Verhältnis</w:t>
      </w:r>
      <w:r w:rsidRPr="005C7269">
        <w:t xml:space="preserve">. Da Länder mit sehr geringer Exposition verzerrte Ergebnisse </w:t>
      </w:r>
      <w:r>
        <w:t xml:space="preserve">liefern </w:t>
      </w:r>
      <w:r w:rsidRPr="005C7269">
        <w:t>könn</w:t>
      </w:r>
      <w:r>
        <w:t>t</w:t>
      </w:r>
      <w:r w:rsidRPr="005C7269">
        <w:t xml:space="preserve">en, </w:t>
      </w:r>
      <w:r>
        <w:t>sind Länder</w:t>
      </w:r>
      <w:r w:rsidRPr="005C7269">
        <w:t xml:space="preserve"> mit weniger als 20.000 exponierten RDP</w:t>
      </w:r>
      <w:r>
        <w:t xml:space="preserve"> </w:t>
      </w:r>
      <w:r w:rsidRPr="005C7269">
        <w:t>Hosts herausgefiltert.</w:t>
      </w:r>
    </w:p>
    <w:p w14:paraId="76ADD97D" w14:textId="7A50E1A8" w:rsidR="005C7269" w:rsidRDefault="005C7269" w:rsidP="00A716FF">
      <w:pPr>
        <w:spacing w:line="360" w:lineRule="auto"/>
        <w:rPr>
          <w:noProof/>
        </w:rPr>
      </w:pPr>
      <w:r>
        <w:rPr>
          <w:noProof/>
        </w:rPr>
        <w:lastRenderedPageBreak/>
        <w:drawing>
          <wp:inline distT="0" distB="0" distL="0" distR="0" wp14:anchorId="0FEF5DE6" wp14:editId="6316A5D6">
            <wp:extent cx="5760720" cy="24599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459990"/>
                    </a:xfrm>
                    <a:prstGeom prst="rect">
                      <a:avLst/>
                    </a:prstGeom>
                  </pic:spPr>
                </pic:pic>
              </a:graphicData>
            </a:graphic>
          </wp:inline>
        </w:drawing>
      </w:r>
    </w:p>
    <w:p w14:paraId="47D53C15" w14:textId="7BE826E7" w:rsidR="005C7269" w:rsidRDefault="005C7269" w:rsidP="005C7269">
      <w:pPr>
        <w:spacing w:line="360" w:lineRule="auto"/>
      </w:pPr>
      <w:r w:rsidRPr="005C7269">
        <w:t xml:space="preserve">Die </w:t>
      </w:r>
      <w:r>
        <w:t xml:space="preserve">IT-Verantwortlichen in den verschiedenen </w:t>
      </w:r>
      <w:r w:rsidRPr="005C7269">
        <w:t>Länder</w:t>
      </w:r>
      <w:r>
        <w:t>n</w:t>
      </w:r>
      <w:r w:rsidRPr="005C7269">
        <w:t xml:space="preserve"> haben </w:t>
      </w:r>
      <w:r w:rsidR="003F6450">
        <w:t xml:space="preserve">demnach </w:t>
      </w:r>
      <w:r>
        <w:t xml:space="preserve">sehr </w:t>
      </w:r>
      <w:r w:rsidRPr="005C7269">
        <w:t>unterschiedlich auf d</w:t>
      </w:r>
      <w:r>
        <w:t>en</w:t>
      </w:r>
      <w:r w:rsidRPr="005C7269">
        <w:t xml:space="preserve"> Patch</w:t>
      </w:r>
      <w:r>
        <w:t>-Bedarf</w:t>
      </w:r>
      <w:r w:rsidRPr="005C7269">
        <w:t xml:space="preserve"> ihrer Systeme reagiert</w:t>
      </w:r>
      <w:r>
        <w:t xml:space="preserve">. Deutschland ist erfreulicherweise gut aufgestellt: </w:t>
      </w:r>
      <w:r w:rsidR="001D15C7">
        <w:t xml:space="preserve">Die überwiegende Zahl der Rechner wurde bereits gepatcht. Insgesamt zählte BitSight hierzulande nur 110.993 Systeme, </w:t>
      </w:r>
      <w:r w:rsidR="001D15C7" w:rsidRPr="009C3403">
        <w:t xml:space="preserve">die </w:t>
      </w:r>
      <w:r w:rsidR="001D15C7">
        <w:t xml:space="preserve">sich in Unternehmensnetzwerken befinden und ohne den Patch </w:t>
      </w:r>
      <w:r w:rsidR="001D15C7" w:rsidRPr="009C3403">
        <w:t xml:space="preserve">für </w:t>
      </w:r>
      <w:proofErr w:type="spellStart"/>
      <w:r w:rsidR="001D15C7" w:rsidRPr="009C3403">
        <w:t>Blue</w:t>
      </w:r>
      <w:r w:rsidR="001D15C7">
        <w:t>k</w:t>
      </w:r>
      <w:r w:rsidR="001D15C7" w:rsidRPr="009C3403">
        <w:t>eep</w:t>
      </w:r>
      <w:proofErr w:type="spellEnd"/>
      <w:r w:rsidR="001D15C7" w:rsidRPr="009C3403">
        <w:t xml:space="preserve"> anfällig </w:t>
      </w:r>
      <w:r w:rsidR="001D15C7">
        <w:t xml:space="preserve">gewesen wären. Davon wurden bereits 94.719 Stück gepatcht, 16.274 waren demnach zum Zeitpunkt der Erstellung des Artikels noch gefährdet. </w:t>
      </w:r>
      <w:r>
        <w:t>Auch die USA, Frankreich, Japan, die Niederlande und Großbritannien schneiden gut ab.</w:t>
      </w:r>
    </w:p>
    <w:p w14:paraId="4A462669" w14:textId="07FA209F" w:rsidR="005C7269" w:rsidRDefault="005C7269" w:rsidP="005C7269">
      <w:pPr>
        <w:spacing w:line="360" w:lineRule="auto"/>
      </w:pPr>
      <w:r>
        <w:t xml:space="preserve">BitSight hat </w:t>
      </w:r>
      <w:r w:rsidR="00B0107D">
        <w:t>e</w:t>
      </w:r>
      <w:r>
        <w:t xml:space="preserve">benso die </w:t>
      </w:r>
      <w:r w:rsidR="003F6450">
        <w:t>Anfälligkeit</w:t>
      </w:r>
      <w:r>
        <w:t xml:space="preserve"> </w:t>
      </w:r>
      <w:r w:rsidR="00B0107D">
        <w:t xml:space="preserve">von Branchen </w:t>
      </w:r>
      <w:r w:rsidR="003F6450">
        <w:t>auf</w:t>
      </w:r>
      <w:r w:rsidR="00B0107D" w:rsidRPr="009C3403">
        <w:t xml:space="preserve"> </w:t>
      </w:r>
      <w:proofErr w:type="spellStart"/>
      <w:r w:rsidR="00B0107D" w:rsidRPr="009C3403">
        <w:t>Blue</w:t>
      </w:r>
      <w:r w:rsidR="00B0107D">
        <w:t>k</w:t>
      </w:r>
      <w:r w:rsidR="00B0107D" w:rsidRPr="009C3403">
        <w:t>eep</w:t>
      </w:r>
      <w:proofErr w:type="spellEnd"/>
      <w:r w:rsidR="00B0107D" w:rsidRPr="009C3403">
        <w:t xml:space="preserve"> </w:t>
      </w:r>
      <w:r w:rsidR="00B0107D">
        <w:t>analys</w:t>
      </w:r>
      <w:r w:rsidR="003F6450">
        <w:t>i</w:t>
      </w:r>
      <w:r w:rsidR="00B0107D">
        <w:t>ert.</w:t>
      </w:r>
      <w:r>
        <w:t xml:space="preserve"> Die folgende Tabelle zeigt den Anteil der Unternehmen</w:t>
      </w:r>
      <w:r w:rsidR="00B0107D">
        <w:t xml:space="preserve"> einer Branche</w:t>
      </w:r>
      <w:r>
        <w:t xml:space="preserve">, </w:t>
      </w:r>
      <w:r w:rsidR="00B0107D">
        <w:t xml:space="preserve">bei denen BitSight </w:t>
      </w:r>
      <w:r>
        <w:t xml:space="preserve">mindestens ein gefährdetes </w:t>
      </w:r>
      <w:r w:rsidR="00B0107D">
        <w:t>System gefunden hat</w:t>
      </w:r>
      <w:r w:rsidR="0085760C">
        <w:t xml:space="preserve">; </w:t>
      </w:r>
      <w:r w:rsidR="00B0107D">
        <w:t xml:space="preserve">bei denen der Patch bereits auf alle über das Internet erreichbare Computer aufgespielt wurde oder </w:t>
      </w:r>
      <w:r w:rsidR="0085760C">
        <w:t xml:space="preserve">wo die Rechner </w:t>
      </w:r>
      <w:r w:rsidR="00B0107D">
        <w:t>durch eine</w:t>
      </w:r>
      <w:r w:rsidR="0085760C">
        <w:t xml:space="preserve"> zusätzliche Authentifizierungsmaßnahme (NLA) geschützt sind</w:t>
      </w:r>
      <w:r w:rsidR="003F6450">
        <w:t>; sowie</w:t>
      </w:r>
      <w:r w:rsidR="0085760C">
        <w:t xml:space="preserve"> Unternehmen, die nicht für Angriffe über RDP anfällig sind.</w:t>
      </w:r>
    </w:p>
    <w:p w14:paraId="50CFF17B" w14:textId="6EFAFF9E" w:rsidR="0085760C" w:rsidRDefault="0085760C" w:rsidP="005C7269">
      <w:pPr>
        <w:spacing w:line="360" w:lineRule="auto"/>
        <w:rPr>
          <w:noProof/>
        </w:rPr>
      </w:pPr>
      <w:r>
        <w:rPr>
          <w:noProof/>
        </w:rPr>
        <w:lastRenderedPageBreak/>
        <w:drawing>
          <wp:inline distT="0" distB="0" distL="0" distR="0" wp14:anchorId="2E6495DD" wp14:editId="19911C65">
            <wp:extent cx="5760720" cy="35636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563620"/>
                    </a:xfrm>
                    <a:prstGeom prst="rect">
                      <a:avLst/>
                    </a:prstGeom>
                  </pic:spPr>
                </pic:pic>
              </a:graphicData>
            </a:graphic>
          </wp:inline>
        </w:drawing>
      </w:r>
    </w:p>
    <w:p w14:paraId="7E65AC67" w14:textId="77777777" w:rsidR="001D15C7" w:rsidRDefault="001D15C7" w:rsidP="001D15C7">
      <w:pPr>
        <w:spacing w:line="360" w:lineRule="auto"/>
      </w:pPr>
      <w:r>
        <w:t>Unternehmen aus den Bereichen Telekommunikation, Bildung und Technologie sind am stärksten betroffen. Telekommunikationsunternehmen hosten aber in der Regel Systeme für ihre Endkunden, die sie selbst nicht aktualisieren können, was die höhere Quote für diese Branche erklärt.</w:t>
      </w:r>
    </w:p>
    <w:p w14:paraId="0A1C6545" w14:textId="77777777" w:rsidR="001D15C7" w:rsidRPr="001D15C7" w:rsidRDefault="001D15C7" w:rsidP="00862DD7">
      <w:pPr>
        <w:autoSpaceDE w:val="0"/>
        <w:autoSpaceDN w:val="0"/>
        <w:adjustRightInd w:val="0"/>
        <w:snapToGrid w:val="0"/>
        <w:spacing w:after="0" w:line="360" w:lineRule="auto"/>
        <w:rPr>
          <w:rFonts w:ascii="Arial-BoldMT" w:eastAsia="Times New Roman" w:hAnsi="Arial-BoldMT" w:cs="Arial-BoldMT"/>
          <w:b/>
          <w:bCs/>
          <w:color w:val="000000"/>
          <w:sz w:val="21"/>
          <w:szCs w:val="24"/>
        </w:rPr>
      </w:pPr>
    </w:p>
    <w:p w14:paraId="58E41270" w14:textId="50CE0180" w:rsidR="0085760C" w:rsidRPr="0085760C" w:rsidRDefault="0085760C" w:rsidP="003E2FC9">
      <w:pPr>
        <w:autoSpaceDE w:val="0"/>
        <w:autoSpaceDN w:val="0"/>
        <w:adjustRightInd w:val="0"/>
        <w:snapToGrid w:val="0"/>
        <w:spacing w:after="0" w:line="360" w:lineRule="auto"/>
        <w:outlineLvl w:val="0"/>
        <w:rPr>
          <w:rFonts w:ascii="Arial-BoldMT" w:eastAsia="Times New Roman" w:hAnsi="Arial-BoldMT" w:cs="Arial-BoldMT"/>
          <w:b/>
          <w:bCs/>
          <w:color w:val="000000"/>
          <w:sz w:val="21"/>
          <w:szCs w:val="24"/>
          <w:lang w:val="x-none"/>
        </w:rPr>
      </w:pPr>
      <w:proofErr w:type="spellStart"/>
      <w:r w:rsidRPr="0085760C">
        <w:rPr>
          <w:rFonts w:ascii="Arial-BoldMT" w:eastAsia="Times New Roman" w:hAnsi="Arial-BoldMT" w:cs="Arial-BoldMT"/>
          <w:b/>
          <w:bCs/>
          <w:color w:val="000000"/>
          <w:sz w:val="21"/>
          <w:szCs w:val="24"/>
          <w:lang w:val="x-none"/>
        </w:rPr>
        <w:t>EternalBlue</w:t>
      </w:r>
      <w:proofErr w:type="spellEnd"/>
      <w:r w:rsidRPr="0085760C">
        <w:rPr>
          <w:rFonts w:ascii="Arial-BoldMT" w:eastAsia="Times New Roman" w:hAnsi="Arial-BoldMT" w:cs="Arial-BoldMT"/>
          <w:b/>
          <w:bCs/>
          <w:color w:val="000000"/>
          <w:sz w:val="21"/>
          <w:szCs w:val="24"/>
          <w:lang w:val="x-none"/>
        </w:rPr>
        <w:t xml:space="preserve"> versus </w:t>
      </w:r>
      <w:proofErr w:type="spellStart"/>
      <w:r w:rsidRPr="0085760C">
        <w:rPr>
          <w:rFonts w:ascii="Arial-BoldMT" w:eastAsia="Times New Roman" w:hAnsi="Arial-BoldMT" w:cs="Arial-BoldMT"/>
          <w:b/>
          <w:bCs/>
          <w:color w:val="000000"/>
          <w:sz w:val="21"/>
          <w:szCs w:val="24"/>
          <w:lang w:val="x-none"/>
        </w:rPr>
        <w:t>Blue</w:t>
      </w:r>
      <w:r w:rsidR="008E0FF2">
        <w:rPr>
          <w:rFonts w:ascii="Arial-BoldMT" w:eastAsia="Times New Roman" w:hAnsi="Arial-BoldMT" w:cs="Arial-BoldMT"/>
          <w:b/>
          <w:bCs/>
          <w:color w:val="000000"/>
          <w:sz w:val="21"/>
          <w:szCs w:val="24"/>
        </w:rPr>
        <w:t>k</w:t>
      </w:r>
      <w:r w:rsidRPr="0085760C">
        <w:rPr>
          <w:rFonts w:ascii="Arial-BoldMT" w:eastAsia="Times New Roman" w:hAnsi="Arial-BoldMT" w:cs="Arial-BoldMT"/>
          <w:b/>
          <w:bCs/>
          <w:color w:val="000000"/>
          <w:sz w:val="21"/>
          <w:szCs w:val="24"/>
          <w:lang w:val="x-none"/>
        </w:rPr>
        <w:t>eep</w:t>
      </w:r>
      <w:proofErr w:type="spellEnd"/>
    </w:p>
    <w:p w14:paraId="4F4FDE19" w14:textId="77777777" w:rsidR="001D15C7" w:rsidRDefault="001D15C7" w:rsidP="00862DD7">
      <w:pPr>
        <w:spacing w:line="360" w:lineRule="auto"/>
        <w:rPr>
          <w:noProof/>
        </w:rPr>
      </w:pPr>
    </w:p>
    <w:p w14:paraId="13078CAD" w14:textId="1D93EF4B" w:rsidR="00862DD7" w:rsidRDefault="0085760C" w:rsidP="00862DD7">
      <w:pPr>
        <w:spacing w:line="360" w:lineRule="auto"/>
        <w:rPr>
          <w:noProof/>
        </w:rPr>
      </w:pPr>
      <w:r>
        <w:rPr>
          <w:noProof/>
        </w:rPr>
        <w:t xml:space="preserve">Basierend auf den Daten, die BitSight seit Anfang Mai gesammelt hat, und den historischen Daten, die </w:t>
      </w:r>
      <w:r w:rsidR="003F6450">
        <w:rPr>
          <w:noProof/>
        </w:rPr>
        <w:t xml:space="preserve">BitSight für </w:t>
      </w:r>
      <w:r>
        <w:rPr>
          <w:noProof/>
        </w:rPr>
        <w:t xml:space="preserve">2017 </w:t>
      </w:r>
      <w:r w:rsidR="003F6450">
        <w:rPr>
          <w:noProof/>
        </w:rPr>
        <w:t>vorliegen</w:t>
      </w:r>
      <w:r>
        <w:rPr>
          <w:noProof/>
        </w:rPr>
        <w:t xml:space="preserve">, </w:t>
      </w:r>
      <w:r w:rsidR="00862DD7">
        <w:rPr>
          <w:noProof/>
        </w:rPr>
        <w:t xml:space="preserve">lässt sich </w:t>
      </w:r>
      <w:r>
        <w:rPr>
          <w:noProof/>
        </w:rPr>
        <w:t xml:space="preserve">die Anzahl der exponierten Systeme unmittelbar vor dem Erkennen </w:t>
      </w:r>
      <w:r w:rsidR="00862DD7">
        <w:rPr>
          <w:noProof/>
        </w:rPr>
        <w:t xml:space="preserve">der Sicherheitslücke </w:t>
      </w:r>
      <w:r>
        <w:rPr>
          <w:noProof/>
        </w:rPr>
        <w:t xml:space="preserve">und </w:t>
      </w:r>
      <w:r w:rsidR="00862DD7">
        <w:rPr>
          <w:noProof/>
        </w:rPr>
        <w:t xml:space="preserve">der Bereitstellung des </w:t>
      </w:r>
      <w:r>
        <w:rPr>
          <w:noProof/>
        </w:rPr>
        <w:t>Patche</w:t>
      </w:r>
      <w:r w:rsidR="00862DD7">
        <w:rPr>
          <w:noProof/>
        </w:rPr>
        <w:t>s</w:t>
      </w:r>
      <w:r>
        <w:rPr>
          <w:noProof/>
        </w:rPr>
        <w:t xml:space="preserve"> durch Microsoft vergleichen. EternalBlue </w:t>
      </w:r>
      <w:r w:rsidR="00862DD7">
        <w:rPr>
          <w:noProof/>
        </w:rPr>
        <w:t>war der Bug</w:t>
      </w:r>
      <w:r>
        <w:rPr>
          <w:noProof/>
        </w:rPr>
        <w:t xml:space="preserve">, der </w:t>
      </w:r>
      <w:r w:rsidR="00862DD7">
        <w:rPr>
          <w:noProof/>
        </w:rPr>
        <w:t>vom</w:t>
      </w:r>
      <w:r>
        <w:rPr>
          <w:noProof/>
        </w:rPr>
        <w:t xml:space="preserve"> WannaCry</w:t>
      </w:r>
      <w:r w:rsidR="00862DD7">
        <w:rPr>
          <w:noProof/>
        </w:rPr>
        <w:t xml:space="preserve"> </w:t>
      </w:r>
      <w:r>
        <w:rPr>
          <w:noProof/>
        </w:rPr>
        <w:t xml:space="preserve">Wurm </w:t>
      </w:r>
      <w:r w:rsidR="00862DD7">
        <w:rPr>
          <w:noProof/>
        </w:rPr>
        <w:t xml:space="preserve">ausgenutzt </w:t>
      </w:r>
      <w:r>
        <w:rPr>
          <w:noProof/>
        </w:rPr>
        <w:t>wurde</w:t>
      </w:r>
      <w:r w:rsidR="00862DD7">
        <w:rPr>
          <w:noProof/>
        </w:rPr>
        <w:t xml:space="preserve">. WannaCry trat etwa </w:t>
      </w:r>
      <w:r>
        <w:rPr>
          <w:noProof/>
        </w:rPr>
        <w:t>zwei Monate nach de</w:t>
      </w:r>
      <w:r w:rsidR="00862DD7">
        <w:rPr>
          <w:noProof/>
        </w:rPr>
        <w:t>r Warnung vor EternalBlue und der Bereistellung des Patches durch</w:t>
      </w:r>
      <w:r>
        <w:rPr>
          <w:noProof/>
        </w:rPr>
        <w:t xml:space="preserve"> Microsoft </w:t>
      </w:r>
      <w:r w:rsidR="00862DD7">
        <w:rPr>
          <w:noProof/>
        </w:rPr>
        <w:t>dafür auf</w:t>
      </w:r>
      <w:r>
        <w:rPr>
          <w:noProof/>
        </w:rPr>
        <w:t>.</w:t>
      </w:r>
    </w:p>
    <w:p w14:paraId="7081E125" w14:textId="31F42FAE" w:rsidR="0085760C" w:rsidRDefault="00862DD7" w:rsidP="00862DD7">
      <w:pPr>
        <w:spacing w:line="360" w:lineRule="auto"/>
        <w:rPr>
          <w:noProof/>
        </w:rPr>
      </w:pPr>
      <w:r>
        <w:rPr>
          <w:noProof/>
        </w:rPr>
        <w:lastRenderedPageBreak/>
        <w:drawing>
          <wp:inline distT="0" distB="0" distL="0" distR="0" wp14:anchorId="7FD5F4CF" wp14:editId="75F162F5">
            <wp:extent cx="5760720" cy="2679065"/>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679065"/>
                    </a:xfrm>
                    <a:prstGeom prst="rect">
                      <a:avLst/>
                    </a:prstGeom>
                  </pic:spPr>
                </pic:pic>
              </a:graphicData>
            </a:graphic>
          </wp:inline>
        </w:drawing>
      </w:r>
      <w:r w:rsidR="0085760C">
        <w:rPr>
          <w:noProof/>
        </w:rPr>
        <w:t xml:space="preserve"> </w:t>
      </w:r>
    </w:p>
    <w:p w14:paraId="707087B4" w14:textId="797A40AA" w:rsidR="00862DD7" w:rsidRDefault="00862DD7" w:rsidP="00862DD7">
      <w:pPr>
        <w:spacing w:line="360" w:lineRule="auto"/>
        <w:rPr>
          <w:noProof/>
        </w:rPr>
      </w:pPr>
      <w:r>
        <w:rPr>
          <w:noProof/>
        </w:rPr>
        <w:t xml:space="preserve">Die Grafik zeigt </w:t>
      </w:r>
      <w:r w:rsidR="0085760C">
        <w:rPr>
          <w:noProof/>
        </w:rPr>
        <w:t>die potenzielle Exposition um das Datu</w:t>
      </w:r>
      <w:r>
        <w:rPr>
          <w:noProof/>
        </w:rPr>
        <w:t>m herum</w:t>
      </w:r>
      <w:r w:rsidR="0085760C">
        <w:rPr>
          <w:noProof/>
        </w:rPr>
        <w:t xml:space="preserve">, an dem </w:t>
      </w:r>
      <w:r>
        <w:rPr>
          <w:noProof/>
        </w:rPr>
        <w:t>die Bugs bekannt gegeben</w:t>
      </w:r>
      <w:r w:rsidR="0085760C">
        <w:rPr>
          <w:noProof/>
        </w:rPr>
        <w:t xml:space="preserve"> wurden,</w:t>
      </w:r>
      <w:r>
        <w:rPr>
          <w:noProof/>
        </w:rPr>
        <w:t xml:space="preserve"> </w:t>
      </w:r>
      <w:r w:rsidR="0085760C">
        <w:rPr>
          <w:noProof/>
        </w:rPr>
        <w:t>ohne Berücksichtigung von Patch</w:t>
      </w:r>
      <w:r>
        <w:rPr>
          <w:noProof/>
        </w:rPr>
        <w:t>ing</w:t>
      </w:r>
      <w:r w:rsidR="0085760C">
        <w:rPr>
          <w:noProof/>
        </w:rPr>
        <w:t xml:space="preserve">. </w:t>
      </w:r>
      <w:r>
        <w:rPr>
          <w:noProof/>
        </w:rPr>
        <w:t xml:space="preserve">BitSight berechnet </w:t>
      </w:r>
      <w:r w:rsidR="0085760C">
        <w:rPr>
          <w:noProof/>
        </w:rPr>
        <w:t>das potenzielle Risiko für EternalBlue, indem die Anzahl der SMBv1</w:t>
      </w:r>
      <w:r>
        <w:rPr>
          <w:noProof/>
        </w:rPr>
        <w:t xml:space="preserve"> </w:t>
      </w:r>
      <w:r w:rsidR="0085760C">
        <w:rPr>
          <w:noProof/>
        </w:rPr>
        <w:t xml:space="preserve">Hosts </w:t>
      </w:r>
      <w:r>
        <w:rPr>
          <w:noProof/>
        </w:rPr>
        <w:t>ge</w:t>
      </w:r>
      <w:r w:rsidR="0085760C">
        <w:rPr>
          <w:noProof/>
        </w:rPr>
        <w:t>zähl</w:t>
      </w:r>
      <w:r>
        <w:rPr>
          <w:noProof/>
        </w:rPr>
        <w:t>t wurde</w:t>
      </w:r>
      <w:r w:rsidR="0085760C">
        <w:rPr>
          <w:noProof/>
        </w:rPr>
        <w:t xml:space="preserve">, die im April 2017 </w:t>
      </w:r>
      <w:r>
        <w:rPr>
          <w:noProof/>
        </w:rPr>
        <w:t xml:space="preserve">über das </w:t>
      </w:r>
      <w:r w:rsidR="0085760C">
        <w:rPr>
          <w:noProof/>
        </w:rPr>
        <w:t xml:space="preserve">Internet </w:t>
      </w:r>
      <w:r>
        <w:rPr>
          <w:noProof/>
        </w:rPr>
        <w:t>erreichbar waren.</w:t>
      </w:r>
      <w:r w:rsidR="0085760C">
        <w:rPr>
          <w:noProof/>
        </w:rPr>
        <w:t xml:space="preserve"> </w:t>
      </w:r>
      <w:r>
        <w:rPr>
          <w:noProof/>
        </w:rPr>
        <w:t>F</w:t>
      </w:r>
      <w:r w:rsidR="0085760C">
        <w:rPr>
          <w:noProof/>
        </w:rPr>
        <w:t>ür Blue</w:t>
      </w:r>
      <w:r w:rsidR="008E0FF2">
        <w:rPr>
          <w:noProof/>
        </w:rPr>
        <w:t>k</w:t>
      </w:r>
      <w:r w:rsidR="0085760C">
        <w:rPr>
          <w:noProof/>
        </w:rPr>
        <w:t xml:space="preserve">eep </w:t>
      </w:r>
      <w:r>
        <w:rPr>
          <w:noProof/>
        </w:rPr>
        <w:t>hat BitSight</w:t>
      </w:r>
      <w:r w:rsidR="0085760C">
        <w:rPr>
          <w:noProof/>
        </w:rPr>
        <w:t xml:space="preserve"> die Anzahl der </w:t>
      </w:r>
      <w:r>
        <w:rPr>
          <w:noProof/>
        </w:rPr>
        <w:t>erreichbaren</w:t>
      </w:r>
      <w:r w:rsidR="0085760C">
        <w:rPr>
          <w:noProof/>
        </w:rPr>
        <w:t xml:space="preserve"> Hosts mit </w:t>
      </w:r>
      <w:r>
        <w:rPr>
          <w:noProof/>
        </w:rPr>
        <w:t xml:space="preserve">RDP und </w:t>
      </w:r>
      <w:r w:rsidR="0085760C">
        <w:rPr>
          <w:noProof/>
        </w:rPr>
        <w:t>deaktivierter NLA im Mai 2019</w:t>
      </w:r>
      <w:r>
        <w:rPr>
          <w:noProof/>
        </w:rPr>
        <w:t xml:space="preserve"> gezählt</w:t>
      </w:r>
      <w:r w:rsidR="0085760C">
        <w:rPr>
          <w:noProof/>
        </w:rPr>
        <w:t xml:space="preserve">. </w:t>
      </w:r>
    </w:p>
    <w:p w14:paraId="7F6B5327" w14:textId="77777777" w:rsidR="003F6450" w:rsidRDefault="00862DD7" w:rsidP="00862DD7">
      <w:pPr>
        <w:spacing w:line="360" w:lineRule="auto"/>
        <w:rPr>
          <w:noProof/>
        </w:rPr>
      </w:pPr>
      <w:r>
        <w:rPr>
          <w:noProof/>
        </w:rPr>
        <w:t>D</w:t>
      </w:r>
      <w:r w:rsidR="0085760C">
        <w:rPr>
          <w:noProof/>
        </w:rPr>
        <w:t xml:space="preserve">ie Situation </w:t>
      </w:r>
      <w:r w:rsidR="00C56FFF">
        <w:rPr>
          <w:noProof/>
        </w:rPr>
        <w:t>ist bezüglich der Anzahl der</w:t>
      </w:r>
      <w:r w:rsidR="0085760C">
        <w:rPr>
          <w:noProof/>
        </w:rPr>
        <w:t xml:space="preserve"> exponierten Systemen vergleichbar</w:t>
      </w:r>
      <w:r w:rsidR="00C56FFF">
        <w:rPr>
          <w:noProof/>
        </w:rPr>
        <w:t xml:space="preserve">. </w:t>
      </w:r>
      <w:r w:rsidR="0085760C">
        <w:rPr>
          <w:noProof/>
        </w:rPr>
        <w:t>Blue</w:t>
      </w:r>
      <w:r w:rsidR="008E0FF2">
        <w:rPr>
          <w:noProof/>
        </w:rPr>
        <w:t>k</w:t>
      </w:r>
      <w:r w:rsidR="0085760C">
        <w:rPr>
          <w:noProof/>
        </w:rPr>
        <w:t xml:space="preserve">eep </w:t>
      </w:r>
      <w:r w:rsidR="00C56FFF">
        <w:rPr>
          <w:noProof/>
        </w:rPr>
        <w:t xml:space="preserve">betrifft </w:t>
      </w:r>
      <w:r w:rsidR="0085760C">
        <w:rPr>
          <w:noProof/>
        </w:rPr>
        <w:t xml:space="preserve">zum Zeitpunkt der </w:t>
      </w:r>
      <w:r w:rsidR="00C56FFF">
        <w:rPr>
          <w:noProof/>
        </w:rPr>
        <w:t xml:space="preserve">Bug-Bekanntgabe </w:t>
      </w:r>
      <w:r w:rsidR="0085760C">
        <w:rPr>
          <w:noProof/>
        </w:rPr>
        <w:t>und Patch</w:t>
      </w:r>
      <w:r w:rsidR="00C56FFF">
        <w:rPr>
          <w:noProof/>
        </w:rPr>
        <w:t>-F</w:t>
      </w:r>
      <w:r w:rsidR="0085760C">
        <w:rPr>
          <w:noProof/>
        </w:rPr>
        <w:t xml:space="preserve">reigabe </w:t>
      </w:r>
      <w:r w:rsidR="00C56FFF">
        <w:rPr>
          <w:noProof/>
        </w:rPr>
        <w:t xml:space="preserve">nur </w:t>
      </w:r>
      <w:r w:rsidR="0085760C">
        <w:rPr>
          <w:noProof/>
        </w:rPr>
        <w:t xml:space="preserve">eine </w:t>
      </w:r>
      <w:r w:rsidR="00C56FFF">
        <w:rPr>
          <w:noProof/>
        </w:rPr>
        <w:t xml:space="preserve">etwas </w:t>
      </w:r>
      <w:r w:rsidR="0085760C">
        <w:rPr>
          <w:noProof/>
        </w:rPr>
        <w:t xml:space="preserve">größere Anzahl </w:t>
      </w:r>
      <w:r w:rsidR="00C56FFF">
        <w:rPr>
          <w:noProof/>
        </w:rPr>
        <w:t>an</w:t>
      </w:r>
      <w:r w:rsidR="0085760C">
        <w:rPr>
          <w:noProof/>
        </w:rPr>
        <w:t xml:space="preserve"> Systeme</w:t>
      </w:r>
      <w:r w:rsidR="00C56FFF">
        <w:rPr>
          <w:noProof/>
        </w:rPr>
        <w:t>n</w:t>
      </w:r>
      <w:r w:rsidR="0085760C">
        <w:rPr>
          <w:noProof/>
        </w:rPr>
        <w:t xml:space="preserve">. </w:t>
      </w:r>
    </w:p>
    <w:p w14:paraId="087C1342" w14:textId="65656F4A" w:rsidR="00C56FFF" w:rsidRDefault="0085760C" w:rsidP="00862DD7">
      <w:pPr>
        <w:spacing w:line="360" w:lineRule="auto"/>
        <w:rPr>
          <w:noProof/>
        </w:rPr>
      </w:pPr>
      <w:r>
        <w:rPr>
          <w:noProof/>
        </w:rPr>
        <w:t>Bei der Verfügbarkeit von Exploits ist die Situation anders. Im Fall der EternalBlue</w:t>
      </w:r>
      <w:r w:rsidR="00C56FFF">
        <w:rPr>
          <w:noProof/>
        </w:rPr>
        <w:t xml:space="preserve"> </w:t>
      </w:r>
      <w:r>
        <w:rPr>
          <w:noProof/>
        </w:rPr>
        <w:t xml:space="preserve">Schwachstelle </w:t>
      </w:r>
      <w:r w:rsidR="00C56FFF">
        <w:rPr>
          <w:noProof/>
        </w:rPr>
        <w:t>ist</w:t>
      </w:r>
      <w:r>
        <w:rPr>
          <w:noProof/>
        </w:rPr>
        <w:t xml:space="preserve"> fast zeitgleich mit dem freigegebenen Patch ein zuverlässiger Exploit durchgesickert. </w:t>
      </w:r>
      <w:r w:rsidR="00C56FFF">
        <w:rPr>
          <w:noProof/>
        </w:rPr>
        <w:t>Für</w:t>
      </w:r>
      <w:r>
        <w:rPr>
          <w:noProof/>
        </w:rPr>
        <w:t xml:space="preserve"> Blue</w:t>
      </w:r>
      <w:r w:rsidR="008E0FF2">
        <w:rPr>
          <w:noProof/>
        </w:rPr>
        <w:t>k</w:t>
      </w:r>
      <w:r>
        <w:rPr>
          <w:noProof/>
        </w:rPr>
        <w:t xml:space="preserve">eep gibt es zum Zeitpunkt dieses Artikels keinen allgemein verfügbaren Exploit, </w:t>
      </w:r>
      <w:r w:rsidR="00C56FFF">
        <w:rPr>
          <w:noProof/>
        </w:rPr>
        <w:t>nur</w:t>
      </w:r>
      <w:r>
        <w:rPr>
          <w:noProof/>
        </w:rPr>
        <w:t xml:space="preserve"> mehrere Berichte über Proof-of-Concept-Exploits, die leicht durch Reverse Engineering des Patches erstellt werden konnten. </w:t>
      </w:r>
    </w:p>
    <w:p w14:paraId="7AC6CC08" w14:textId="07077C2A" w:rsidR="0085760C" w:rsidRDefault="0085760C" w:rsidP="00862DD7">
      <w:pPr>
        <w:spacing w:line="360" w:lineRule="auto"/>
        <w:rPr>
          <w:noProof/>
        </w:rPr>
      </w:pPr>
      <w:r>
        <w:rPr>
          <w:noProof/>
        </w:rPr>
        <w:t>Auf jeden Fall ist das zerstörerische Potenzial ähnlich oder schl</w:t>
      </w:r>
      <w:r w:rsidR="00C56FFF">
        <w:rPr>
          <w:noProof/>
        </w:rPr>
        <w:t>immer</w:t>
      </w:r>
      <w:r>
        <w:rPr>
          <w:noProof/>
        </w:rPr>
        <w:t xml:space="preserve"> als bei WannaCry, insbesondere wenn Patch</w:t>
      </w:r>
      <w:r w:rsidR="00C56FFF">
        <w:rPr>
          <w:noProof/>
        </w:rPr>
        <w:t>-Management</w:t>
      </w:r>
      <w:r>
        <w:rPr>
          <w:noProof/>
        </w:rPr>
        <w:t xml:space="preserve"> nicht ernst genommen w</w:t>
      </w:r>
      <w:r w:rsidR="00C56FFF">
        <w:rPr>
          <w:noProof/>
        </w:rPr>
        <w:t>ird</w:t>
      </w:r>
      <w:r>
        <w:rPr>
          <w:noProof/>
        </w:rPr>
        <w:t>.</w:t>
      </w:r>
    </w:p>
    <w:p w14:paraId="1C3F40BF" w14:textId="4533129A" w:rsidR="008E0FF2" w:rsidRDefault="008E0FF2" w:rsidP="00862DD7">
      <w:pPr>
        <w:spacing w:line="360" w:lineRule="auto"/>
        <w:rPr>
          <w:noProof/>
        </w:rPr>
      </w:pPr>
    </w:p>
    <w:p w14:paraId="535D7263" w14:textId="4FBA21CC" w:rsidR="008E0FF2" w:rsidRPr="008E0FF2" w:rsidRDefault="008E0FF2" w:rsidP="003E2FC9">
      <w:pPr>
        <w:spacing w:line="360" w:lineRule="auto"/>
        <w:outlineLvl w:val="0"/>
        <w:rPr>
          <w:b/>
          <w:bCs/>
          <w:noProof/>
        </w:rPr>
      </w:pPr>
      <w:r w:rsidRPr="008E0FF2">
        <w:rPr>
          <w:b/>
          <w:bCs/>
          <w:noProof/>
        </w:rPr>
        <w:t>Emfehlungen für Unternehmen</w:t>
      </w:r>
    </w:p>
    <w:p w14:paraId="2551E017" w14:textId="5396EDCE" w:rsidR="008E0FF2" w:rsidRDefault="008E0FF2" w:rsidP="00862DD7">
      <w:pPr>
        <w:spacing w:line="360" w:lineRule="auto"/>
        <w:rPr>
          <w:noProof/>
        </w:rPr>
      </w:pPr>
      <w:r>
        <w:rPr>
          <w:noProof/>
        </w:rPr>
        <w:t xml:space="preserve">Die </w:t>
      </w:r>
      <w:hyperlink r:id="rId11" w:history="1">
        <w:r w:rsidRPr="008E0FF2">
          <w:rPr>
            <w:rStyle w:val="Hyperlink"/>
            <w:noProof/>
          </w:rPr>
          <w:t>National Security Agency (NSA) empfiehlt folgende Maßnahmen</w:t>
        </w:r>
      </w:hyperlink>
      <w:r>
        <w:rPr>
          <w:noProof/>
        </w:rPr>
        <w:t xml:space="preserve">, um </w:t>
      </w:r>
      <w:r w:rsidRPr="008E0FF2">
        <w:rPr>
          <w:noProof/>
        </w:rPr>
        <w:t xml:space="preserve">die Widerstandsfähigkeit gegen </w:t>
      </w:r>
      <w:r>
        <w:rPr>
          <w:noProof/>
        </w:rPr>
        <w:t>Bluekeep</w:t>
      </w:r>
      <w:r w:rsidRPr="008E0FF2">
        <w:rPr>
          <w:noProof/>
        </w:rPr>
        <w:t xml:space="preserve"> zu erhöhen, während große Netzwerke </w:t>
      </w:r>
      <w:r>
        <w:rPr>
          <w:noProof/>
        </w:rPr>
        <w:t>ge</w:t>
      </w:r>
      <w:r w:rsidRPr="008E0FF2">
        <w:rPr>
          <w:noProof/>
        </w:rPr>
        <w:t>patch</w:t>
      </w:r>
      <w:r>
        <w:rPr>
          <w:noProof/>
        </w:rPr>
        <w:t>t</w:t>
      </w:r>
      <w:r w:rsidRPr="008E0FF2">
        <w:rPr>
          <w:noProof/>
        </w:rPr>
        <w:t xml:space="preserve"> und up</w:t>
      </w:r>
      <w:r>
        <w:rPr>
          <w:noProof/>
        </w:rPr>
        <w:t>ge</w:t>
      </w:r>
      <w:r w:rsidRPr="008E0FF2">
        <w:rPr>
          <w:noProof/>
        </w:rPr>
        <w:t>grade</w:t>
      </w:r>
      <w:r>
        <w:rPr>
          <w:noProof/>
        </w:rPr>
        <w:t>d werden:</w:t>
      </w:r>
    </w:p>
    <w:p w14:paraId="559135C9" w14:textId="77777777" w:rsidR="003F6450" w:rsidRDefault="008E0FF2" w:rsidP="008E0FF2">
      <w:pPr>
        <w:pStyle w:val="Listenabsatz"/>
        <w:numPr>
          <w:ilvl w:val="0"/>
          <w:numId w:val="1"/>
        </w:numPr>
        <w:spacing w:line="360" w:lineRule="auto"/>
        <w:rPr>
          <w:noProof/>
        </w:rPr>
      </w:pPr>
      <w:r w:rsidRPr="008E0FF2">
        <w:rPr>
          <w:noProof/>
        </w:rPr>
        <w:t xml:space="preserve">Blockieren </w:t>
      </w:r>
      <w:r>
        <w:rPr>
          <w:noProof/>
        </w:rPr>
        <w:t xml:space="preserve">des </w:t>
      </w:r>
      <w:r w:rsidRPr="008E0FF2">
        <w:rPr>
          <w:noProof/>
        </w:rPr>
        <w:t>TCP</w:t>
      </w:r>
      <w:r>
        <w:rPr>
          <w:noProof/>
        </w:rPr>
        <w:t xml:space="preserve"> </w:t>
      </w:r>
      <w:r w:rsidRPr="008E0FF2">
        <w:rPr>
          <w:noProof/>
        </w:rPr>
        <w:t>Port</w:t>
      </w:r>
      <w:r>
        <w:rPr>
          <w:noProof/>
        </w:rPr>
        <w:t>s</w:t>
      </w:r>
      <w:r w:rsidRPr="008E0FF2">
        <w:rPr>
          <w:noProof/>
        </w:rPr>
        <w:t xml:space="preserve"> 3389 </w:t>
      </w:r>
      <w:r>
        <w:rPr>
          <w:noProof/>
        </w:rPr>
        <w:t xml:space="preserve">über die </w:t>
      </w:r>
      <w:r w:rsidRPr="008E0FF2">
        <w:rPr>
          <w:noProof/>
        </w:rPr>
        <w:t>Firewall</w:t>
      </w:r>
      <w:r w:rsidR="003F6450">
        <w:rPr>
          <w:noProof/>
        </w:rPr>
        <w:t>s</w:t>
      </w:r>
      <w:r w:rsidRPr="008E0FF2">
        <w:rPr>
          <w:noProof/>
        </w:rPr>
        <w:t xml:space="preserve">, insbesondere an allen Firewalls, die </w:t>
      </w:r>
      <w:r w:rsidR="003F6450">
        <w:rPr>
          <w:noProof/>
        </w:rPr>
        <w:t>über dasd Internet</w:t>
      </w:r>
      <w:r w:rsidRPr="008E0FF2">
        <w:rPr>
          <w:noProof/>
        </w:rPr>
        <w:t xml:space="preserve"> </w:t>
      </w:r>
      <w:r w:rsidR="003F6450">
        <w:rPr>
          <w:noProof/>
        </w:rPr>
        <w:t>erreichbar</w:t>
      </w:r>
      <w:r w:rsidRPr="008E0FF2">
        <w:rPr>
          <w:noProof/>
        </w:rPr>
        <w:t xml:space="preserve"> sind. Dieser Port wird im RDP-Protokoll verwendet und </w:t>
      </w:r>
      <w:r w:rsidR="003F6450">
        <w:rPr>
          <w:noProof/>
        </w:rPr>
        <w:t>durch die Blockierung werden Versuche unterbunden</w:t>
      </w:r>
      <w:r w:rsidRPr="008E0FF2">
        <w:rPr>
          <w:noProof/>
        </w:rPr>
        <w:t>, eine Verbindung herzustellen.</w:t>
      </w:r>
    </w:p>
    <w:p w14:paraId="020972FD" w14:textId="77777777" w:rsidR="003F6450" w:rsidRDefault="003F6450" w:rsidP="008E0FF2">
      <w:pPr>
        <w:pStyle w:val="Listenabsatz"/>
        <w:numPr>
          <w:ilvl w:val="0"/>
          <w:numId w:val="1"/>
        </w:numPr>
        <w:spacing w:line="360" w:lineRule="auto"/>
        <w:rPr>
          <w:noProof/>
        </w:rPr>
      </w:pPr>
      <w:r>
        <w:rPr>
          <w:noProof/>
        </w:rPr>
        <w:lastRenderedPageBreak/>
        <w:t>NLA</w:t>
      </w:r>
      <w:r w:rsidR="008E0FF2" w:rsidRPr="008E0FF2">
        <w:rPr>
          <w:noProof/>
        </w:rPr>
        <w:t xml:space="preserve"> aktivieren. Diese Sicherheitsverbesserung erfordert, dass Angreifer über gültige Anmeldeinformationen verfügen, um eine Remote</w:t>
      </w:r>
      <w:r>
        <w:rPr>
          <w:noProof/>
        </w:rPr>
        <w:t xml:space="preserve"> </w:t>
      </w:r>
      <w:r w:rsidR="008E0FF2" w:rsidRPr="008E0FF2">
        <w:rPr>
          <w:noProof/>
        </w:rPr>
        <w:t>Code</w:t>
      </w:r>
      <w:r>
        <w:rPr>
          <w:noProof/>
        </w:rPr>
        <w:t xml:space="preserve"> A</w:t>
      </w:r>
      <w:r w:rsidR="008E0FF2" w:rsidRPr="008E0FF2">
        <w:rPr>
          <w:noProof/>
        </w:rPr>
        <w:t>uthenti</w:t>
      </w:r>
      <w:r>
        <w:rPr>
          <w:noProof/>
        </w:rPr>
        <w:t xml:space="preserve">cation </w:t>
      </w:r>
      <w:r w:rsidR="008E0FF2" w:rsidRPr="008E0FF2">
        <w:rPr>
          <w:noProof/>
        </w:rPr>
        <w:t>durchzuführen.</w:t>
      </w:r>
    </w:p>
    <w:p w14:paraId="3EB2B283" w14:textId="2E8E4690" w:rsidR="008E0FF2" w:rsidRDefault="008E0FF2" w:rsidP="008E0FF2">
      <w:pPr>
        <w:pStyle w:val="Listenabsatz"/>
        <w:numPr>
          <w:ilvl w:val="0"/>
          <w:numId w:val="1"/>
        </w:numPr>
        <w:spacing w:line="360" w:lineRule="auto"/>
        <w:rPr>
          <w:noProof/>
        </w:rPr>
      </w:pPr>
      <w:r w:rsidRPr="008E0FF2">
        <w:rPr>
          <w:noProof/>
        </w:rPr>
        <w:t xml:space="preserve">Deaktivieren </w:t>
      </w:r>
      <w:r w:rsidR="003F6450">
        <w:rPr>
          <w:noProof/>
        </w:rPr>
        <w:t>von</w:t>
      </w:r>
      <w:r w:rsidRPr="008E0FF2">
        <w:rPr>
          <w:noProof/>
        </w:rPr>
        <w:t xml:space="preserve"> Remote Desktop Services, wenn sie nicht benötigt werden. Die Deaktivierung nicht genutzter und nicht benötigter Dienste trägt dazu bei, die Gefährdung durch Sicherheitsschwachstellen insgesamt zu verringern und ist eine bewährte Vorgehensweise</w:t>
      </w:r>
      <w:r w:rsidR="003F6450">
        <w:rPr>
          <w:noProof/>
        </w:rPr>
        <w:t>,</w:t>
      </w:r>
      <w:r w:rsidRPr="008E0FF2">
        <w:rPr>
          <w:noProof/>
        </w:rPr>
        <w:t xml:space="preserve"> auch </w:t>
      </w:r>
      <w:r w:rsidR="003F6450">
        <w:rPr>
          <w:noProof/>
        </w:rPr>
        <w:t xml:space="preserve">abseits der </w:t>
      </w:r>
      <w:r w:rsidRPr="008E0FF2">
        <w:rPr>
          <w:noProof/>
        </w:rPr>
        <w:t>BlueKeep-Bedrohung.</w:t>
      </w:r>
    </w:p>
    <w:p w14:paraId="6655FB55" w14:textId="1F08EB3A" w:rsidR="0085760C" w:rsidRDefault="0085760C" w:rsidP="00862DD7">
      <w:pPr>
        <w:spacing w:line="360" w:lineRule="auto"/>
      </w:pPr>
    </w:p>
    <w:p w14:paraId="3434DC20" w14:textId="73D439D3" w:rsidR="006A07D3" w:rsidRPr="006A07D3" w:rsidRDefault="006A07D3" w:rsidP="00862DD7">
      <w:pPr>
        <w:spacing w:line="360" w:lineRule="auto"/>
        <w:rPr>
          <w:b/>
          <w:bCs/>
        </w:rPr>
      </w:pPr>
      <w:r w:rsidRPr="006A07D3">
        <w:rPr>
          <w:b/>
          <w:bCs/>
        </w:rPr>
        <w:t>Zur BitSight Technologie</w:t>
      </w:r>
    </w:p>
    <w:p w14:paraId="17C23902" w14:textId="7EF884BB" w:rsidR="006A07D3" w:rsidRPr="005B2140" w:rsidRDefault="006A07D3" w:rsidP="006A07D3">
      <w:pPr>
        <w:spacing w:line="360" w:lineRule="auto"/>
      </w:pPr>
      <w:r>
        <w:t xml:space="preserve">IT-Sicherheitsratings </w:t>
      </w:r>
      <w:r>
        <w:t xml:space="preserve">von BitSight </w:t>
      </w:r>
      <w:r>
        <w:t xml:space="preserve">verfolgen folgenden Ansatz: automatisches Sammeln und Auswerten großer Datenmengen im Hinblick auf IT-Sicherheit. </w:t>
      </w:r>
      <w:r w:rsidRPr="005B2140">
        <w:t xml:space="preserve">Die datenbasierte, kontinuierliche Messung der IT-Sicherheit und automatisierte Auswertung durch leistungsfähige Algorithmen ermöglicht einen tagesaktuellen Überblick </w:t>
      </w:r>
      <w:r>
        <w:t xml:space="preserve">von außen </w:t>
      </w:r>
      <w:r w:rsidRPr="005B2140">
        <w:t>über die</w:t>
      </w:r>
      <w:r>
        <w:t xml:space="preserve"> </w:t>
      </w:r>
      <w:r w:rsidRPr="005B2140">
        <w:t>Cybersicherheitsleistungen Organisationen</w:t>
      </w:r>
      <w:r>
        <w:t xml:space="preserve"> – </w:t>
      </w:r>
      <w:r w:rsidRPr="00CD69E6">
        <w:t xml:space="preserve">eine </w:t>
      </w:r>
      <w:r>
        <w:t xml:space="preserve">stets </w:t>
      </w:r>
      <w:r w:rsidRPr="00CD69E6">
        <w:t>aktuelle</w:t>
      </w:r>
      <w:r>
        <w:t xml:space="preserve"> Bewertung</w:t>
      </w:r>
      <w:r w:rsidRPr="00CD69E6">
        <w:t xml:space="preserve"> </w:t>
      </w:r>
      <w:r>
        <w:t xml:space="preserve">der </w:t>
      </w:r>
      <w:r w:rsidRPr="00CD69E6">
        <w:t xml:space="preserve">Cybersicherheitsleistung </w:t>
      </w:r>
      <w:r>
        <w:t>von hunderttausenden Organisationen</w:t>
      </w:r>
      <w:r w:rsidRPr="005B2140">
        <w:t xml:space="preserve">. Dabei steht vom generellen Überblick über </w:t>
      </w:r>
      <w:r>
        <w:t xml:space="preserve">beispielsweise </w:t>
      </w:r>
      <w:r w:rsidRPr="005B2140">
        <w:t>die deutschlandweite Cybersicherheitsleistung bis hin zu kleinsten Details wie offenen Ports und Malware-Infektionen einzelner Computer immer genau die Information bereit, die benötigt wird.</w:t>
      </w:r>
    </w:p>
    <w:p w14:paraId="1111CDC8" w14:textId="77777777" w:rsidR="006A07D3" w:rsidRDefault="006A07D3" w:rsidP="006A07D3">
      <w:pPr>
        <w:spacing w:line="360" w:lineRule="auto"/>
      </w:pPr>
      <w:r>
        <w:t xml:space="preserve">BitSight hat mehr als 1.500 Kunden weltweit, dazu gehören unter anderem BNP Paribas, PwC, KPMG, </w:t>
      </w:r>
      <w:proofErr w:type="spellStart"/>
      <w:r>
        <w:t>Mondelēz</w:t>
      </w:r>
      <w:proofErr w:type="spellEnd"/>
      <w:r>
        <w:t>, Bertelsmann und Burberry.</w:t>
      </w:r>
    </w:p>
    <w:p w14:paraId="6EE9BB45" w14:textId="77777777" w:rsidR="006A07D3" w:rsidRPr="0085760C" w:rsidRDefault="006A07D3" w:rsidP="00862DD7">
      <w:pPr>
        <w:spacing w:line="360" w:lineRule="auto"/>
      </w:pPr>
    </w:p>
    <w:sectPr w:rsidR="006A07D3" w:rsidRPr="008576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51BDA"/>
    <w:multiLevelType w:val="hybridMultilevel"/>
    <w:tmpl w:val="CF0EE820"/>
    <w:lvl w:ilvl="0" w:tplc="AD0423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B5"/>
    <w:rsid w:val="00043C8E"/>
    <w:rsid w:val="00120706"/>
    <w:rsid w:val="001D15C7"/>
    <w:rsid w:val="003E2FC9"/>
    <w:rsid w:val="003F6450"/>
    <w:rsid w:val="00482B2E"/>
    <w:rsid w:val="005C7269"/>
    <w:rsid w:val="0067345D"/>
    <w:rsid w:val="006A07D3"/>
    <w:rsid w:val="0085760C"/>
    <w:rsid w:val="00862DD7"/>
    <w:rsid w:val="008A4C55"/>
    <w:rsid w:val="008E0FF2"/>
    <w:rsid w:val="0096011A"/>
    <w:rsid w:val="009C3403"/>
    <w:rsid w:val="00A716FF"/>
    <w:rsid w:val="00AC101C"/>
    <w:rsid w:val="00B0107D"/>
    <w:rsid w:val="00B70E23"/>
    <w:rsid w:val="00B838BA"/>
    <w:rsid w:val="00B95EB5"/>
    <w:rsid w:val="00C56FFF"/>
    <w:rsid w:val="00CA4433"/>
    <w:rsid w:val="00D200EE"/>
    <w:rsid w:val="00E34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A9A5"/>
  <w15:chartTrackingRefBased/>
  <w15:docId w15:val="{E19F3573-D204-4772-A365-C4910C99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0FF2"/>
    <w:rPr>
      <w:color w:val="0563C1" w:themeColor="hyperlink"/>
      <w:u w:val="single"/>
    </w:rPr>
  </w:style>
  <w:style w:type="character" w:styleId="NichtaufgelsteErwhnung">
    <w:name w:val="Unresolved Mention"/>
    <w:basedOn w:val="Absatz-Standardschriftart"/>
    <w:uiPriority w:val="99"/>
    <w:semiHidden/>
    <w:unhideWhenUsed/>
    <w:rsid w:val="008E0FF2"/>
    <w:rPr>
      <w:color w:val="605E5C"/>
      <w:shd w:val="clear" w:color="auto" w:fill="E1DFDD"/>
    </w:rPr>
  </w:style>
  <w:style w:type="paragraph" w:styleId="Listenabsatz">
    <w:name w:val="List Paragraph"/>
    <w:basedOn w:val="Standard"/>
    <w:uiPriority w:val="34"/>
    <w:qFormat/>
    <w:rsid w:val="008E0FF2"/>
    <w:pPr>
      <w:ind w:left="720"/>
      <w:contextualSpacing/>
    </w:pPr>
  </w:style>
  <w:style w:type="character" w:styleId="Kommentarzeichen">
    <w:name w:val="annotation reference"/>
    <w:basedOn w:val="Absatz-Standardschriftart"/>
    <w:uiPriority w:val="99"/>
    <w:semiHidden/>
    <w:unhideWhenUsed/>
    <w:rsid w:val="003F6450"/>
    <w:rPr>
      <w:sz w:val="16"/>
      <w:szCs w:val="16"/>
    </w:rPr>
  </w:style>
  <w:style w:type="paragraph" w:styleId="Kommentartext">
    <w:name w:val="annotation text"/>
    <w:basedOn w:val="Standard"/>
    <w:link w:val="KommentartextZchn"/>
    <w:uiPriority w:val="99"/>
    <w:semiHidden/>
    <w:unhideWhenUsed/>
    <w:rsid w:val="003F64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6450"/>
    <w:rPr>
      <w:sz w:val="20"/>
      <w:szCs w:val="20"/>
    </w:rPr>
  </w:style>
  <w:style w:type="paragraph" w:styleId="Kommentarthema">
    <w:name w:val="annotation subject"/>
    <w:basedOn w:val="Kommentartext"/>
    <w:next w:val="Kommentartext"/>
    <w:link w:val="KommentarthemaZchn"/>
    <w:uiPriority w:val="99"/>
    <w:semiHidden/>
    <w:unhideWhenUsed/>
    <w:rsid w:val="003F6450"/>
    <w:rPr>
      <w:b/>
      <w:bCs/>
    </w:rPr>
  </w:style>
  <w:style w:type="character" w:customStyle="1" w:styleId="KommentarthemaZchn">
    <w:name w:val="Kommentarthema Zchn"/>
    <w:basedOn w:val="KommentartextZchn"/>
    <w:link w:val="Kommentarthema"/>
    <w:uiPriority w:val="99"/>
    <w:semiHidden/>
    <w:rsid w:val="003F6450"/>
    <w:rPr>
      <w:b/>
      <w:bCs/>
      <w:sz w:val="20"/>
      <w:szCs w:val="20"/>
    </w:rPr>
  </w:style>
  <w:style w:type="paragraph" w:styleId="Sprechblasentext">
    <w:name w:val="Balloon Text"/>
    <w:basedOn w:val="Standard"/>
    <w:link w:val="SprechblasentextZchn"/>
    <w:uiPriority w:val="99"/>
    <w:semiHidden/>
    <w:unhideWhenUsed/>
    <w:rsid w:val="003F64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6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2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sa.gov/News-Features/News-Stories/Article-View/Article/1865726/nsa-cybersecurity-advisory-patch-remote-desktop-services-on-legacy-versions-of/" TargetMode="External"/><Relationship Id="rId5" Type="http://schemas.openxmlformats.org/officeDocument/2006/relationships/hyperlink" Target="https://www.bitsight.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1020</Words>
  <Characters>6430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Fabricius</dc:creator>
  <cp:keywords/>
  <dc:description/>
  <cp:lastModifiedBy>Christian Fabricius</cp:lastModifiedBy>
  <cp:revision>3</cp:revision>
  <dcterms:created xsi:type="dcterms:W3CDTF">2019-06-14T07:47:00Z</dcterms:created>
  <dcterms:modified xsi:type="dcterms:W3CDTF">2019-06-14T07:52:00Z</dcterms:modified>
</cp:coreProperties>
</file>