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AA3D" w14:textId="77777777" w:rsidR="00C26253" w:rsidRPr="009C6320" w:rsidRDefault="00C26253" w:rsidP="00C2625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b/>
          <w:kern w:val="1"/>
          <w:sz w:val="26"/>
          <w:szCs w:val="26"/>
          <w:lang w:val="it-IT" w:eastAsia="ar-SA"/>
        </w:rPr>
      </w:pPr>
      <w:r w:rsidRPr="009C6320">
        <w:rPr>
          <w:rFonts w:ascii="Arial" w:eastAsia="MS Mincho" w:hAnsi="Arial" w:cs="Arial"/>
          <w:b/>
          <w:kern w:val="1"/>
          <w:sz w:val="26"/>
          <w:szCs w:val="26"/>
          <w:lang w:val="it-IT" w:eastAsia="ar-SA"/>
        </w:rPr>
        <w:t>News Release</w:t>
      </w:r>
    </w:p>
    <w:p w14:paraId="1221C865" w14:textId="2C3F7A9C" w:rsidR="00C26253" w:rsidRPr="00A43608" w:rsidRDefault="00C26253" w:rsidP="00C26253">
      <w:pPr>
        <w:jc w:val="right"/>
        <w:rPr>
          <w:rFonts w:ascii="Arial" w:eastAsia="MS Mincho" w:hAnsi="Arial" w:cs="Arial"/>
          <w:kern w:val="1"/>
          <w:lang w:val="it-IT" w:eastAsia="ar-SA"/>
        </w:rPr>
      </w:pPr>
      <w:r w:rsidRPr="009C6320">
        <w:rPr>
          <w:rFonts w:ascii="Times New Roman" w:eastAsia="MS Mincho" w:hAnsi="Times New Roman"/>
          <w:i/>
          <w:iCs/>
          <w:kern w:val="1"/>
          <w:szCs w:val="22"/>
          <w:lang w:val="it-IT" w:eastAsia="ar-SA"/>
        </w:rPr>
        <w:tab/>
      </w:r>
      <w:r w:rsidRPr="009C6320">
        <w:rPr>
          <w:rFonts w:ascii="Times New Roman" w:eastAsia="MS Mincho" w:hAnsi="Times New Roman"/>
          <w:i/>
          <w:iCs/>
          <w:kern w:val="1"/>
          <w:szCs w:val="22"/>
          <w:lang w:val="it-IT" w:eastAsia="ar-SA"/>
        </w:rPr>
        <w:tab/>
      </w:r>
      <w:r w:rsidRPr="00A43608">
        <w:rPr>
          <w:rFonts w:ascii="Arial" w:eastAsia="MS Mincho" w:hAnsi="Arial" w:cs="Arial"/>
          <w:kern w:val="1"/>
          <w:lang w:val="it-IT" w:eastAsia="ar-SA"/>
        </w:rPr>
        <w:t>No.: REN07</w:t>
      </w:r>
      <w:r w:rsidR="009C6320">
        <w:rPr>
          <w:rFonts w:ascii="Arial" w:eastAsia="MS Mincho" w:hAnsi="Arial" w:cs="Arial"/>
          <w:kern w:val="1"/>
          <w:lang w:val="it-IT" w:eastAsia="ar-SA"/>
        </w:rPr>
        <w:t>23</w:t>
      </w:r>
      <w:r w:rsidRPr="00A43608">
        <w:rPr>
          <w:rFonts w:ascii="Arial" w:eastAsia="MS Mincho" w:hAnsi="Arial" w:cs="Arial"/>
          <w:kern w:val="1"/>
          <w:lang w:val="it-IT" w:eastAsia="ar-SA"/>
        </w:rPr>
        <w:t>(A)</w:t>
      </w:r>
    </w:p>
    <w:p w14:paraId="7D63E538" w14:textId="77777777" w:rsidR="00C26253" w:rsidRPr="00A43608" w:rsidRDefault="00C26253" w:rsidP="00385CF5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341B1968" w14:textId="5FEE7672" w:rsidR="00385CF5" w:rsidRPr="0035066D" w:rsidRDefault="005679FA" w:rsidP="00385CF5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679FA">
        <w:rPr>
          <w:rFonts w:ascii="Arial" w:hAnsi="Arial" w:cs="Arial"/>
          <w:b/>
          <w:sz w:val="28"/>
          <w:szCs w:val="28"/>
          <w:lang w:val="it-IT"/>
        </w:rPr>
        <w:t xml:space="preserve">La piattaforma </w:t>
      </w:r>
      <w:proofErr w:type="spellStart"/>
      <w:r w:rsidRPr="005679FA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5679FA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Pr="005679FA">
        <w:rPr>
          <w:rFonts w:ascii="Arial" w:hAnsi="Arial" w:cs="Arial"/>
          <w:b/>
          <w:sz w:val="28"/>
          <w:szCs w:val="28"/>
          <w:lang w:val="it-IT"/>
        </w:rPr>
        <w:t>Synergy</w:t>
      </w:r>
      <w:proofErr w:type="spellEnd"/>
      <w:r w:rsidRPr="005679FA">
        <w:rPr>
          <w:rFonts w:ascii="Arial" w:hAnsi="Arial" w:cs="Arial"/>
          <w:b/>
          <w:sz w:val="28"/>
          <w:szCs w:val="28"/>
          <w:lang w:val="it-IT"/>
        </w:rPr>
        <w:t>™ si arricchisce di nuove soluzioni</w:t>
      </w:r>
    </w:p>
    <w:p w14:paraId="341B1969" w14:textId="77777777" w:rsidR="006D246C" w:rsidRPr="0035066D" w:rsidRDefault="006D246C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2"/>
          <w:szCs w:val="22"/>
          <w:lang w:val="it-IT"/>
        </w:rPr>
      </w:pPr>
    </w:p>
    <w:p w14:paraId="341B196C" w14:textId="6722B088" w:rsidR="00873ED9" w:rsidRDefault="005679FA" w:rsidP="00A43608">
      <w:pPr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  <w:r w:rsidRPr="005679FA">
        <w:rPr>
          <w:rFonts w:ascii="Arial" w:eastAsia="Times New Roman" w:hAnsi="Arial" w:cs="Arial"/>
          <w:i/>
          <w:sz w:val="24"/>
          <w:szCs w:val="24"/>
          <w:lang w:val="it-IT"/>
        </w:rPr>
        <w:t xml:space="preserve">Nuove soluzioni software in ambito di sicurezza e connettività nella Gallery </w:t>
      </w:r>
      <w:proofErr w:type="spellStart"/>
      <w:r w:rsidRPr="005679FA">
        <w:rPr>
          <w:rFonts w:ascii="Arial" w:eastAsia="Times New Roman" w:hAnsi="Arial" w:cs="Arial"/>
          <w:i/>
          <w:sz w:val="24"/>
          <w:szCs w:val="24"/>
          <w:lang w:val="it-IT"/>
        </w:rPr>
        <w:t>Synergy</w:t>
      </w:r>
      <w:proofErr w:type="spellEnd"/>
      <w:r w:rsidRPr="005679FA">
        <w:rPr>
          <w:rFonts w:ascii="Arial" w:eastAsia="Times New Roman" w:hAnsi="Arial" w:cs="Arial"/>
          <w:i/>
          <w:sz w:val="24"/>
          <w:szCs w:val="24"/>
          <w:lang w:val="it-IT"/>
        </w:rPr>
        <w:t xml:space="preserve"> messe a disposizione dai partners commerciali di </w:t>
      </w:r>
      <w:proofErr w:type="spellStart"/>
      <w:r w:rsidRPr="005679FA">
        <w:rPr>
          <w:rFonts w:ascii="Arial" w:eastAsia="Times New Roman" w:hAnsi="Arial" w:cs="Arial"/>
          <w:i/>
          <w:sz w:val="24"/>
          <w:szCs w:val="24"/>
          <w:lang w:val="it-IT"/>
        </w:rPr>
        <w:t>Renesas</w:t>
      </w:r>
      <w:proofErr w:type="spellEnd"/>
    </w:p>
    <w:p w14:paraId="3EEA4164" w14:textId="77777777" w:rsidR="00C26253" w:rsidRPr="0035066D" w:rsidRDefault="00C26253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</w:p>
    <w:p w14:paraId="70036FD5" w14:textId="77777777" w:rsidR="005679FA" w:rsidRPr="005679FA" w:rsidRDefault="007206B4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Düsseldorf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 xml:space="preserve">, </w:t>
      </w:r>
      <w:r w:rsidR="009C6320">
        <w:rPr>
          <w:rFonts w:ascii="Arial" w:eastAsia="Arial" w:hAnsi="Arial" w:cs="Arial"/>
          <w:b/>
          <w:sz w:val="22"/>
          <w:szCs w:val="22"/>
          <w:lang w:val="it-IT"/>
        </w:rPr>
        <w:t>25</w:t>
      </w:r>
      <w:r w:rsidR="00A43608" w:rsidRPr="00A43608">
        <w:rPr>
          <w:rFonts w:ascii="Arial" w:eastAsia="Arial" w:hAnsi="Arial" w:cs="Arial"/>
          <w:b/>
          <w:sz w:val="22"/>
          <w:szCs w:val="22"/>
          <w:lang w:val="it-IT"/>
        </w:rPr>
        <w:t xml:space="preserve"> ottobre 2017 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>―</w:t>
      </w:r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>Electronics</w:t>
      </w:r>
      <w:proofErr w:type="spellEnd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fornitore leader di soluzioni avanzate nel campo dei semiconduttori, ha annunciato oggi la rapida espansione del proprio ecosistema partner con nuovi software di terze parti strettamente integrati nella piattaforma </w:t>
      </w:r>
      <w:proofErr w:type="spellStart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™. Gli sviluppatori possono accedere a questi e altri </w:t>
      </w:r>
      <w:proofErr w:type="spellStart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>Verified</w:t>
      </w:r>
      <w:proofErr w:type="spellEnd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 Software </w:t>
      </w:r>
      <w:proofErr w:type="spellStart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>Add-on</w:t>
      </w:r>
      <w:proofErr w:type="spellEnd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 (VSA) di terze parti, oltre che a Partner </w:t>
      </w:r>
      <w:proofErr w:type="spellStart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>Projects</w:t>
      </w:r>
      <w:proofErr w:type="spellEnd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 convalidati, sul sito web </w:t>
      </w:r>
      <w:proofErr w:type="spellStart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5679FA" w:rsidRPr="005679FA">
        <w:rPr>
          <w:rFonts w:ascii="Arial" w:eastAsia="Arial" w:hAnsi="Arial" w:cs="Arial"/>
          <w:sz w:val="22"/>
          <w:szCs w:val="22"/>
          <w:lang w:val="it-IT"/>
        </w:rPr>
        <w:t xml:space="preserve"> Gallery. Il sito include soluzioni per la tecnologia di sicurezza, protocolli di comunicazione, driver wireless per la connettività cloud, strumenti di sviluppo e altro ancora. Questi contenuti aiutano gli sviluppatori a risolvere le sfide reali di applicazione e a velocizzare economicamente il lancio dei loro prodotti IoT sul mercato.</w:t>
      </w:r>
    </w:p>
    <w:p w14:paraId="359739AA" w14:textId="77777777" w:rsid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6FAE7D63" w14:textId="3EF41A06" w:rsidR="005679FA" w:rsidRP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La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Gallery ospita i componenti software VSA e i Partner Project con un modello commerciale unico e semplice. Gli sviluppatori possono sfogliare, selezionare e scaricare software di terze parti senza costi iniziali, utilizzando semplici licenze attivabili con un click.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analizza e verifica i software VSA di terze parti per garantire la loro interoperabilità con il software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, mentre ogni partner analizza e verifica il proprio software Partner Project in modo che soddisfi i requisiti di compatibilità con i software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. La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Gallery fornisce versioni di valutazione di software di terze parti in licenza commerciale, e gli sviluppatori possono acquisire la licenza direttamente da queste terze parti.</w:t>
      </w:r>
    </w:p>
    <w:p w14:paraId="6441B4A5" w14:textId="77777777" w:rsid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5AFB0944" w14:textId="4CD65FED" w:rsidR="005679FA" w:rsidRP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“L’IoT è abilitato da molte forme di connettività e da una complessa stratificazione di sicurezza, ma gli sviluppatori non dovrebbero essere gravati dai dettagli di implementazione. Dal momento che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è una piattaforma, può ospitare soluzioni partner per soddisfare le esigenze specifiche dei clienti,” ha dichiarato Peter Carbon</w:t>
      </w:r>
      <w:r w:rsidR="00090124">
        <w:rPr>
          <w:rFonts w:ascii="Arial" w:eastAsia="Arial" w:hAnsi="Arial" w:cs="Arial"/>
          <w:sz w:val="22"/>
          <w:szCs w:val="22"/>
          <w:lang w:val="it-IT"/>
        </w:rPr>
        <w:t xml:space="preserve">e, Vicepresidente della </w:t>
      </w:r>
      <w:proofErr w:type="spellStart"/>
      <w:r w:rsidR="00090124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09012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bookmarkStart w:id="0" w:name="_GoBack"/>
      <w:bookmarkEnd w:id="0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Platform Business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Division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di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Electronics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Corporation. “Ogni cliente ha diversi requisiti di sicurezza e connettività, ed è per questo che consideriamo i nostri partner esterni come una miccia per far ‘esplodere’ l’IoT”.</w:t>
      </w:r>
    </w:p>
    <w:p w14:paraId="1519F76C" w14:textId="77777777" w:rsid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3188A7D" w14:textId="77777777" w:rsidR="005679FA" w:rsidRDefault="005679FA" w:rsidP="005679FA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5679FA">
        <w:rPr>
          <w:rFonts w:ascii="Arial" w:eastAsia="Arial" w:hAnsi="Arial" w:cs="Arial"/>
          <w:b/>
          <w:sz w:val="22"/>
          <w:szCs w:val="22"/>
          <w:lang w:val="it-IT"/>
        </w:rPr>
        <w:t xml:space="preserve">Aggiunte degne di nota alla </w:t>
      </w:r>
      <w:proofErr w:type="spellStart"/>
      <w:r w:rsidRPr="005679FA">
        <w:rPr>
          <w:rFonts w:ascii="Arial" w:eastAsia="Arial" w:hAnsi="Arial" w:cs="Arial"/>
          <w:b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b/>
          <w:sz w:val="22"/>
          <w:szCs w:val="22"/>
          <w:lang w:val="it-IT"/>
        </w:rPr>
        <w:t xml:space="preserve"> Gallery</w:t>
      </w:r>
    </w:p>
    <w:p w14:paraId="5C5EDAC6" w14:textId="20359818" w:rsidR="005679FA" w:rsidRPr="005679FA" w:rsidRDefault="005679FA" w:rsidP="005679FA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5679FA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</w:p>
    <w:p w14:paraId="3DFBD464" w14:textId="1F85B8FA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r w:rsidRPr="005679FA">
        <w:rPr>
          <w:rFonts w:eastAsia="Arial" w:cs="Arial"/>
          <w:b/>
          <w:sz w:val="22"/>
          <w:szCs w:val="22"/>
          <w:lang w:val="it-IT"/>
        </w:rPr>
        <w:t>ARIS EDGE di Arrow</w:t>
      </w:r>
      <w:r w:rsidRPr="005679FA">
        <w:rPr>
          <w:rFonts w:eastAsia="Arial" w:cs="Arial"/>
          <w:sz w:val="22"/>
          <w:szCs w:val="22"/>
          <w:lang w:val="it-IT"/>
        </w:rPr>
        <w:t>, offre un kit di soluzioni per sensori IoT pronto all’uso, pensato per le risorse IoT posizionate sul campo.</w:t>
      </w:r>
    </w:p>
    <w:p w14:paraId="010FE0D7" w14:textId="681600F2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Visible</w:t>
      </w:r>
      <w:proofErr w:type="spellEnd"/>
      <w:r w:rsidRPr="005679FA">
        <w:rPr>
          <w:rFonts w:eastAsia="Arial" w:cs="Arial"/>
          <w:b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Things</w:t>
      </w:r>
      <w:proofErr w:type="spellEnd"/>
      <w:r w:rsidRPr="005679FA">
        <w:rPr>
          <w:rFonts w:eastAsia="Arial" w:cs="Arial"/>
          <w:b/>
          <w:sz w:val="22"/>
          <w:szCs w:val="22"/>
          <w:lang w:val="it-IT"/>
        </w:rPr>
        <w:t xml:space="preserve"> Development Kit di Avnet Silica</w:t>
      </w:r>
      <w:r w:rsidRPr="005679FA">
        <w:rPr>
          <w:rFonts w:eastAsia="Arial" w:cs="Arial"/>
          <w:sz w:val="22"/>
          <w:szCs w:val="22"/>
          <w:lang w:val="it-IT"/>
        </w:rPr>
        <w:t xml:space="preserve"> offre un gateway kit industriale IoT multiprotocollo che fornisce una soluzione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edge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>-to-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enterprise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. </w:t>
      </w:r>
    </w:p>
    <w:p w14:paraId="593149C8" w14:textId="2F2F319C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Clarinox</w:t>
      </w:r>
      <w:proofErr w:type="spellEnd"/>
      <w:r w:rsidRPr="005679FA">
        <w:rPr>
          <w:rFonts w:eastAsia="Arial" w:cs="Arial"/>
          <w:b/>
          <w:sz w:val="22"/>
          <w:szCs w:val="22"/>
          <w:lang w:val="it-IT"/>
        </w:rPr>
        <w:t xml:space="preserve"> </w:t>
      </w:r>
      <w:r w:rsidRPr="005679FA">
        <w:rPr>
          <w:rFonts w:eastAsia="Arial" w:cs="Arial"/>
          <w:sz w:val="22"/>
          <w:szCs w:val="22"/>
          <w:lang w:val="it-IT"/>
        </w:rPr>
        <w:t xml:space="preserve">offre soluzioni software di connettività device-to-cloud che coprono un’implementazione completa e simultanea dei protocolli wireless sicuri Wi-Fi, Bluetooth® Classic e Bluetooth Low Energy (BLE), migliorati da un sofisticato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debugger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di software per consentire un’accelerazione dei tempi di commercializzazione e una riduzione della manodopera di manutenzione nella produzione.</w:t>
      </w:r>
    </w:p>
    <w:p w14:paraId="52E867E8" w14:textId="408F0484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r w:rsidRPr="005679FA">
        <w:rPr>
          <w:rFonts w:eastAsia="Arial" w:cs="Arial"/>
          <w:b/>
          <w:sz w:val="22"/>
          <w:szCs w:val="22"/>
          <w:lang w:val="it-IT"/>
        </w:rPr>
        <w:t>CS-Lab</w:t>
      </w:r>
      <w:r w:rsidRPr="005679FA">
        <w:rPr>
          <w:rFonts w:eastAsia="Arial" w:cs="Arial"/>
          <w:sz w:val="22"/>
          <w:szCs w:val="22"/>
          <w:lang w:val="it-IT"/>
        </w:rPr>
        <w:t xml:space="preserve"> mette a disposizione la sua connettività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BACnet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® e lo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stack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Digital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Addressable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Lighting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Interface (DALI-2) per abilitare i protocolli </w:t>
      </w:r>
      <w:proofErr w:type="gramStart"/>
      <w:r w:rsidRPr="005679FA">
        <w:rPr>
          <w:rFonts w:eastAsia="Arial" w:cs="Arial"/>
          <w:sz w:val="22"/>
          <w:szCs w:val="22"/>
          <w:lang w:val="it-IT"/>
        </w:rPr>
        <w:t>dei automazione</w:t>
      </w:r>
      <w:proofErr w:type="gramEnd"/>
      <w:r w:rsidRPr="005679FA">
        <w:rPr>
          <w:rFonts w:eastAsia="Arial" w:cs="Arial"/>
          <w:sz w:val="22"/>
          <w:szCs w:val="22"/>
          <w:lang w:val="it-IT"/>
        </w:rPr>
        <w:t xml:space="preserve"> di sviluppo.</w:t>
      </w:r>
    </w:p>
    <w:p w14:paraId="38E703F3" w14:textId="49AD036F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Cypherbridge</w:t>
      </w:r>
      <w:proofErr w:type="spellEnd"/>
      <w:r w:rsidRPr="005679FA">
        <w:rPr>
          <w:rFonts w:eastAsia="Arial" w:cs="Arial"/>
          <w:b/>
          <w:sz w:val="22"/>
          <w:szCs w:val="22"/>
          <w:lang w:val="it-IT"/>
        </w:rPr>
        <w:t xml:space="preserve"> Systems</w:t>
      </w:r>
      <w:r w:rsidRPr="005679FA">
        <w:rPr>
          <w:rFonts w:eastAsia="Arial" w:cs="Arial"/>
          <w:sz w:val="22"/>
          <w:szCs w:val="22"/>
          <w:lang w:val="it-IT"/>
        </w:rPr>
        <w:t xml:space="preserve"> offre un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SDKPac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, con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Webserver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HTTPS e client, protetti da TLS, </w:t>
      </w:r>
      <w:r w:rsidRPr="005679FA">
        <w:rPr>
          <w:rFonts w:eastAsia="Arial" w:cs="Arial"/>
          <w:sz w:val="22"/>
          <w:szCs w:val="22"/>
          <w:lang w:val="it-IT"/>
        </w:rPr>
        <w:lastRenderedPageBreak/>
        <w:t xml:space="preserve">client SMTP e protocolli Message Queue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Telemetry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Transport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(MQTT) e supporta un’ampia gamma di applicazioni di connettività sicura, tra </w:t>
      </w:r>
      <w:proofErr w:type="gramStart"/>
      <w:r w:rsidRPr="005679FA">
        <w:rPr>
          <w:rFonts w:eastAsia="Arial" w:cs="Arial"/>
          <w:sz w:val="22"/>
          <w:szCs w:val="22"/>
          <w:lang w:val="it-IT"/>
        </w:rPr>
        <w:t>la quali</w:t>
      </w:r>
      <w:proofErr w:type="gramEnd"/>
      <w:r w:rsidRPr="005679FA">
        <w:rPr>
          <w:rFonts w:eastAsia="Arial" w:cs="Arial"/>
          <w:sz w:val="22"/>
          <w:szCs w:val="22"/>
          <w:lang w:val="it-IT"/>
        </w:rPr>
        <w:t xml:space="preserve"> servizi cloud IoT leader nel settore.</w:t>
      </w:r>
    </w:p>
    <w:p w14:paraId="118F64DC" w14:textId="0D699E1B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r w:rsidRPr="005679FA">
        <w:rPr>
          <w:rFonts w:eastAsia="Arial" w:cs="Arial"/>
          <w:sz w:val="22"/>
          <w:szCs w:val="22"/>
          <w:lang w:val="it-IT"/>
        </w:rPr>
        <w:t xml:space="preserve">BROADKEY di </w:t>
      </w: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Intrinsic</w:t>
      </w:r>
      <w:proofErr w:type="spellEnd"/>
      <w:r w:rsidRPr="005679FA">
        <w:rPr>
          <w:rFonts w:eastAsia="Arial" w:cs="Arial"/>
          <w:b/>
          <w:sz w:val="22"/>
          <w:szCs w:val="22"/>
          <w:lang w:val="it-IT"/>
        </w:rPr>
        <w:t>-ID</w:t>
      </w:r>
      <w:r w:rsidRPr="005679FA">
        <w:rPr>
          <w:rFonts w:eastAsia="Arial" w:cs="Arial"/>
          <w:sz w:val="22"/>
          <w:szCs w:val="22"/>
          <w:lang w:val="it-IT"/>
        </w:rPr>
        <w:t xml:space="preserve"> è un modulo software che offre soluzioni di sicurezza avanzate per generare e gestire singole identità di dispositivo e chiavi d’origine utilizzando la tecnologia SRAM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Physical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Unclonable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eastAsia="Arial" w:cs="Arial"/>
          <w:sz w:val="22"/>
          <w:szCs w:val="22"/>
          <w:lang w:val="it-IT"/>
        </w:rPr>
        <w:t>Function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(PUF)</w:t>
      </w:r>
    </w:p>
    <w:p w14:paraId="451D0EC2" w14:textId="27E3310D" w:rsidR="005679FA" w:rsidRPr="005679FA" w:rsidRDefault="005679FA" w:rsidP="005679FA">
      <w:pPr>
        <w:pStyle w:val="Listenabsatz"/>
        <w:widowControl w:val="0"/>
        <w:numPr>
          <w:ilvl w:val="0"/>
          <w:numId w:val="9"/>
        </w:numPr>
        <w:rPr>
          <w:rFonts w:eastAsia="Arial" w:cs="Arial"/>
          <w:sz w:val="22"/>
          <w:szCs w:val="22"/>
          <w:lang w:val="it-IT"/>
        </w:rPr>
      </w:pP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Redpine</w:t>
      </w:r>
      <w:proofErr w:type="spellEnd"/>
      <w:r w:rsidRPr="005679FA">
        <w:rPr>
          <w:rFonts w:eastAsia="Arial" w:cs="Arial"/>
          <w:b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eastAsia="Arial" w:cs="Arial"/>
          <w:b/>
          <w:sz w:val="22"/>
          <w:szCs w:val="22"/>
          <w:lang w:val="it-IT"/>
        </w:rPr>
        <w:t>Signals</w:t>
      </w:r>
      <w:proofErr w:type="spellEnd"/>
      <w:r w:rsidRPr="005679FA">
        <w:rPr>
          <w:rFonts w:eastAsia="Arial" w:cs="Arial"/>
          <w:sz w:val="22"/>
          <w:szCs w:val="22"/>
          <w:lang w:val="it-IT"/>
        </w:rPr>
        <w:t xml:space="preserve"> offre driver software e alcuni esempi per i moduli Wi-Fi 802.11 a/b/g/n.</w:t>
      </w:r>
    </w:p>
    <w:p w14:paraId="06CC0338" w14:textId="51DD7EE3" w:rsid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3959A906" w14:textId="77777777" w:rsidR="005679FA" w:rsidRP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5BA42D8B" w14:textId="77777777" w:rsidR="005679FA" w:rsidRPr="005679FA" w:rsidRDefault="005679FA" w:rsidP="005679FA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5679FA">
        <w:rPr>
          <w:rFonts w:ascii="Arial" w:eastAsia="Arial" w:hAnsi="Arial" w:cs="Arial"/>
          <w:b/>
          <w:sz w:val="22"/>
          <w:szCs w:val="22"/>
          <w:lang w:val="it-IT"/>
        </w:rPr>
        <w:t>Disponibilità</w:t>
      </w:r>
    </w:p>
    <w:p w14:paraId="44742229" w14:textId="78141200" w:rsidR="005679FA" w:rsidRP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Per saperne di più su tutti i programmi e le offerte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Partner, visita il sito </w:t>
      </w:r>
      <w:hyperlink r:id="rId10" w:history="1">
        <w:r w:rsidRPr="002A7E44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http://renesassynergy.com/gallery/partner-ecosystem</w:t>
        </w:r>
      </w:hyperlink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e iscriviti alla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Gallery all’indirizzo </w:t>
      </w:r>
      <w:hyperlink r:id="rId11" w:history="1">
        <w:r w:rsidRPr="002A7E44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https://synergygallery.renesas.com/</w:t>
        </w:r>
      </w:hyperlink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per iniziare a lavorare alla vostra prossima innovazione in ambito IoT.</w:t>
      </w:r>
    </w:p>
    <w:p w14:paraId="364F519E" w14:textId="44F589E6" w:rsid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1AB80CF5" w14:textId="77777777" w:rsidR="005679FA" w:rsidRPr="005679FA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1BFAE242" w14:textId="77777777" w:rsidR="005679FA" w:rsidRPr="005679FA" w:rsidRDefault="005679FA" w:rsidP="005679FA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5679FA">
        <w:rPr>
          <w:rFonts w:ascii="Arial" w:eastAsia="Arial" w:hAnsi="Arial" w:cs="Arial"/>
          <w:b/>
          <w:sz w:val="22"/>
          <w:szCs w:val="22"/>
          <w:lang w:val="it-IT"/>
        </w:rPr>
        <w:t xml:space="preserve">A proposito della piattaforma </w:t>
      </w:r>
      <w:proofErr w:type="spellStart"/>
      <w:r w:rsidRPr="005679FA">
        <w:rPr>
          <w:rFonts w:ascii="Arial" w:eastAsia="Arial" w:hAnsi="Arial" w:cs="Arial"/>
          <w:b/>
          <w:sz w:val="22"/>
          <w:szCs w:val="22"/>
          <w:lang w:val="it-IT"/>
        </w:rPr>
        <w:t>Renesas</w:t>
      </w:r>
      <w:proofErr w:type="spellEnd"/>
      <w:r w:rsidRPr="005679FA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5679FA">
        <w:rPr>
          <w:rFonts w:ascii="Arial" w:eastAsia="Arial" w:hAnsi="Arial" w:cs="Arial"/>
          <w:b/>
          <w:sz w:val="22"/>
          <w:szCs w:val="22"/>
          <w:lang w:val="it-IT"/>
        </w:rPr>
        <w:t>Synergy</w:t>
      </w:r>
      <w:proofErr w:type="spellEnd"/>
    </w:p>
    <w:p w14:paraId="667C7AAF" w14:textId="039F7822" w:rsidR="00D0200D" w:rsidRPr="00ED3E7E" w:rsidRDefault="005679FA" w:rsidP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La piattaforma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fornisce agli sviluppatori accesso immediato a una piattaforma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completa, partendo da una Application Programming Interface (API) per sfruttare un framework software completo sviluppato attorno alla Express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Logic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 X-Ware™. Questo framework software è qualificato, mantenuto, supportato e garantito da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, al fine di sollevare gli sviluppatori dall’onere di creare e mantenere software di basso livello per ciascuno dei loro progetti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. Ciò consente ai clienti di risparmiare mesi di lavoro e di cospicui investimenti. Questa piattaforma integra inoltre un’ampia gamma di MCU scalabili basati su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Arm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 xml:space="preserve">® </w:t>
      </w:r>
      <w:proofErr w:type="spellStart"/>
      <w:r w:rsidRPr="005679FA">
        <w:rPr>
          <w:rFonts w:ascii="Arial" w:eastAsia="Arial" w:hAnsi="Arial" w:cs="Arial"/>
          <w:sz w:val="22"/>
          <w:szCs w:val="22"/>
          <w:lang w:val="it-IT"/>
        </w:rPr>
        <w:t>Cortex</w:t>
      </w:r>
      <w:proofErr w:type="spellEnd"/>
      <w:r w:rsidRPr="005679FA">
        <w:rPr>
          <w:rFonts w:ascii="Arial" w:eastAsia="Arial" w:hAnsi="Arial" w:cs="Arial"/>
          <w:sz w:val="22"/>
          <w:szCs w:val="22"/>
          <w:lang w:val="it-IT"/>
        </w:rPr>
        <w:t>®-M, completamente accessibili attraverso le API del software, nonché piattaforme di sviluppo IAR Embedded Workbench con assistenza di configurazione intuitiva e kit di sviluppo hardware.</w:t>
      </w:r>
      <w:r w:rsidRPr="00ED3E7E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341B19C2" w14:textId="21D5C2A9" w:rsidR="00C850AE" w:rsidRDefault="00C850AE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209994F4" w14:textId="77777777" w:rsidR="005679FA" w:rsidRPr="00ED3E7E" w:rsidRDefault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5D769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A proposito di </w:t>
      </w:r>
      <w:proofErr w:type="spellStart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 Europe </w:t>
      </w:r>
    </w:p>
    <w:p w14:paraId="73F094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distribuisce innovazione nel mercato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embedded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per mezzo di soluzioni complete a semiconduttori che permettono a miliardi di dispositivi intelligenti connessi di migliorare il modo in cui le persone vivono e lavorano – in modo sicuro. Fornitore globale numero uno di microcontrollori e leader nei prodotti A&amp;P 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SoC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fornisce l’esperienza, la qualità e una serie di soluzioni complete per una vasta gamma di applicazioni Automotive, Industriali, Home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(HE), Office Automation (OA) and Information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Communication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Technology (ICT) per contribuire a plasmare un futuro senza limiti.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Corporation è stata fondata nel 2010 e ha sede in Giappone. Con oltre 800 partner hardware e software in tutto il mondo possiede la più grande rete di sostegno locale del settore. La struttura europea di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è composta da tre business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units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: Automotive,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Broad-based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e Industrial Solution Business Unit.</w:t>
      </w:r>
    </w:p>
    <w:p w14:paraId="6F766E8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</w:p>
    <w:p w14:paraId="2D7BAE3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Ulteriori informazioni circa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Europe sono disponibili visitando </w:t>
      </w:r>
      <w:hyperlink r:id="rId12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www.renesas.com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. </w:t>
      </w:r>
    </w:p>
    <w:p w14:paraId="7CD7B7E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Europe è inoltre presente sui social media come </w:t>
      </w:r>
      <w:hyperlink r:id="rId13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http://twitter.com/Renesas_Europe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4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http://facebook.com/RenesasEurope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5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http://youtube.com/RenesasPresents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.</w:t>
      </w:r>
    </w:p>
    <w:p w14:paraId="7AB78BD5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6E7C6615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35652FA3" w14:textId="3503827C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62B1ABE2" w14:textId="77777777" w:rsidR="005679FA" w:rsidRPr="004E4104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5E14B5F" w14:textId="77777777" w:rsidR="004E4104" w:rsidRPr="009C6320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Arial" w:hAnsi="Arial" w:cs="Arial"/>
          <w:b/>
          <w:bCs/>
          <w:color w:val="auto"/>
          <w:kern w:val="1"/>
          <w:sz w:val="16"/>
          <w:szCs w:val="16"/>
          <w:lang w:val="it-IT" w:eastAsia="ar-SA"/>
        </w:rPr>
      </w:pPr>
      <w:r w:rsidRPr="009C6320">
        <w:rPr>
          <w:rFonts w:ascii="Arial" w:eastAsia="Arial" w:hAnsi="Arial" w:cs="Arial"/>
          <w:b/>
          <w:bCs/>
          <w:color w:val="auto"/>
          <w:sz w:val="16"/>
          <w:szCs w:val="16"/>
          <w:lang w:val="it-IT" w:eastAsia="ar-SA"/>
        </w:rPr>
        <w:t>Commenti</w:t>
      </w:r>
    </w:p>
    <w:p w14:paraId="2F15361B" w14:textId="4013717C" w:rsidR="004E4104" w:rsidRPr="009C6320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</w:pP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Renesas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Synergy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è un marchio registrato di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Renesas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Electronics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Corporation. Bluetooth è un marchio registrato di Bluetooth SIG,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Inc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.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BACnet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è un marchio registrato di American Society of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Heating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,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Refrigerating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e Air-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Conditioning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Engineers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(ASHRAE). X-Ware è un marchio di Express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Logic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,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Inc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.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Arm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e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Cortex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sono marchi registrati di </w:t>
      </w:r>
      <w:proofErr w:type="spellStart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Arm</w:t>
      </w:r>
      <w:proofErr w:type="spellEnd"/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Limited (o di sue affiliate) negli Stati Uniti o altrove. IAR Embedded Workbench è un marchio registrato di proprietà di IAR Systems AB. Tutti gli altri marchi registrati o marchi sono di proprietà dei rispettivi proprietari</w:t>
      </w:r>
      <w:r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.</w:t>
      </w:r>
    </w:p>
    <w:p w14:paraId="64FDEAC0" w14:textId="7C23A375" w:rsidR="004E4104" w:rsidRPr="009C6320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it-IT" w:eastAsia="ar-SA"/>
        </w:rPr>
      </w:pPr>
    </w:p>
    <w:p w14:paraId="7E42CC4A" w14:textId="551BD8F6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it-IT" w:eastAsia="ar-SA"/>
        </w:rPr>
      </w:pPr>
    </w:p>
    <w:p w14:paraId="285F49BC" w14:textId="77777777" w:rsidR="005679FA" w:rsidRPr="009C6320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it-IT" w:eastAsia="ar-SA"/>
        </w:rPr>
      </w:pPr>
    </w:p>
    <w:p w14:paraId="1E2591CF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P</w:t>
      </w:r>
      <w:proofErr w:type="spellEnd"/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er informazioni e richieste:</w:t>
      </w:r>
    </w:p>
    <w:p w14:paraId="225762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Simone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Kremser-Czoer</w:t>
      </w:r>
      <w:proofErr w:type="spellEnd"/>
    </w:p>
    <w:p w14:paraId="0D631558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Europe GmbH, Karl-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Hammerschmidt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Str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. 42, 85609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Aschheim-Dornach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Tel.: +49 89 38070-216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Email: simone.kremser-czoer@renesas.com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 xml:space="preserve">Web: </w:t>
      </w:r>
      <w:hyperlink r:id="rId16" w:history="1">
        <w:r w:rsidRPr="004E4104">
          <w:rPr>
            <w:rFonts w:ascii="Arial" w:eastAsia="MS Mincho" w:hAnsi="Arial" w:cs="Arial"/>
            <w:color w:val="0000FF"/>
            <w:kern w:val="1"/>
            <w:u w:val="single"/>
            <w:lang w:val="it-IT" w:eastAsia="ar-SA"/>
          </w:rPr>
          <w:t>www.renesas.com</w:t>
        </w:r>
      </w:hyperlink>
    </w:p>
    <w:p w14:paraId="2D367DA1" w14:textId="2F091091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9CD4DF7" w14:textId="6A9C6824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D542BC9" w14:textId="77777777" w:rsidR="005679FA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1E7E46D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Contatto in agenzia per ulteriori informazioni:</w:t>
      </w:r>
    </w:p>
    <w:p w14:paraId="6D7110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Alexandra Janetzko / Martin Stummer</w:t>
      </w:r>
    </w:p>
    <w:p w14:paraId="258C5F60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HBI Helga Bailey GmbH (PR agency), Stefan-George-Ring 2, 81929 Munich, Germany</w:t>
      </w:r>
    </w:p>
    <w:p w14:paraId="1533BF4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Tel.: +49 89 99 38 87-32 / -34</w:t>
      </w:r>
    </w:p>
    <w:p w14:paraId="7D3D61ED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Fax: +49 89 930 24 45</w:t>
      </w:r>
    </w:p>
    <w:p w14:paraId="36E2B337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Email: </w:t>
      </w:r>
      <w:hyperlink r:id="rId17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alexandra_janetzko@hbi.de</w:t>
        </w:r>
      </w:hyperlink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 / </w:t>
      </w:r>
      <w:hyperlink r:id="rId18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martin_stummer@hbi.de</w:t>
        </w:r>
      </w:hyperlink>
    </w:p>
    <w:p w14:paraId="32021109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Web: </w:t>
      </w:r>
      <w:hyperlink r:id="rId19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www.hbi.de</w:t>
        </w:r>
      </w:hyperlink>
    </w:p>
    <w:p w14:paraId="145447C3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Times New Roman" w:eastAsia="MS Mincho" w:hAnsi="Times New Roman"/>
          <w:color w:val="auto"/>
          <w:kern w:val="1"/>
          <w:lang w:val="it-IT" w:eastAsia="ar-SA"/>
        </w:rPr>
      </w:pPr>
    </w:p>
    <w:p w14:paraId="0051ADE1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lang w:val="it-IT" w:eastAsia="ar-SA"/>
        </w:rPr>
      </w:pPr>
    </w:p>
    <w:p w14:paraId="7583FC6B" w14:textId="77777777" w:rsidR="004E4104" w:rsidRDefault="004E4104">
      <w:pPr>
        <w:widowControl w:val="0"/>
        <w:rPr>
          <w:rFonts w:ascii="Arial" w:eastAsia="Arial" w:hAnsi="Arial" w:cs="Arial"/>
          <w:sz w:val="22"/>
          <w:szCs w:val="22"/>
        </w:rPr>
      </w:pPr>
    </w:p>
    <w:sectPr w:rsidR="004E4104" w:rsidSect="00436D48">
      <w:headerReference w:type="default" r:id="rId20"/>
      <w:footerReference w:type="default" r:id="rId21"/>
      <w:headerReference w:type="first" r:id="rId22"/>
      <w:pgSz w:w="11909" w:h="16834" w:code="9"/>
      <w:pgMar w:top="2016" w:right="792" w:bottom="1584" w:left="1872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B48D" w14:textId="77777777" w:rsidR="004762AF" w:rsidRDefault="004762AF">
      <w:r>
        <w:separator/>
      </w:r>
    </w:p>
  </w:endnote>
  <w:endnote w:type="continuationSeparator" w:id="0">
    <w:p w14:paraId="625AA9EE" w14:textId="77777777" w:rsidR="004762AF" w:rsidRDefault="004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9" w14:textId="77777777" w:rsidR="006D246C" w:rsidRDefault="006D246C">
    <w:pPr>
      <w:widowControl w:val="0"/>
      <w:tabs>
        <w:tab w:val="center" w:pos="4252"/>
        <w:tab w:val="right" w:pos="8504"/>
      </w:tabs>
      <w:spacing w:after="992"/>
      <w:ind w:right="360"/>
      <w:jc w:val="both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FC8B" w14:textId="77777777" w:rsidR="004762AF" w:rsidRDefault="004762AF">
      <w:r>
        <w:separator/>
      </w:r>
    </w:p>
  </w:footnote>
  <w:footnote w:type="continuationSeparator" w:id="0">
    <w:p w14:paraId="601A838D" w14:textId="77777777" w:rsidR="004762AF" w:rsidRDefault="0047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7" w14:textId="77777777" w:rsidR="006D246C" w:rsidRDefault="006D246C">
    <w:pPr>
      <w:widowControl w:val="0"/>
      <w:spacing w:before="851" w:line="360" w:lineRule="auto"/>
      <w:jc w:val="center"/>
      <w:rPr>
        <w:rFonts w:ascii="Arial" w:eastAsia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A" w14:textId="77777777" w:rsidR="006D246C" w:rsidRPr="00D016C3" w:rsidRDefault="00E72D5E">
    <w:pPr>
      <w:widowControl w:val="0"/>
      <w:tabs>
        <w:tab w:val="center" w:pos="4252"/>
        <w:tab w:val="right" w:pos="8504"/>
      </w:tabs>
      <w:spacing w:before="851"/>
      <w:jc w:val="both"/>
      <w:rPr>
        <w:rFonts w:ascii="Times New Roman" w:eastAsia="Times New Roman" w:hAnsi="Times New Roman" w:cs="Times New Roman"/>
        <w:color w:val="auto"/>
        <w:sz w:val="22"/>
        <w:szCs w:val="22"/>
      </w:rPr>
    </w:pPr>
    <w:r w:rsidRPr="00D016C3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1B19CB" wp14:editId="341B19CC">
              <wp:simplePos x="0" y="0"/>
              <wp:positionH relativeFrom="margin">
                <wp:posOffset>0</wp:posOffset>
              </wp:positionH>
              <wp:positionV relativeFrom="paragraph">
                <wp:posOffset>1206500</wp:posOffset>
              </wp:positionV>
              <wp:extent cx="5829300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0080" y="3779682"/>
                        <a:ext cx="583184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58D4A8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margin-left:0;margin-top:95pt;width:45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">
              <w10:wrap anchorx="margin"/>
            </v:shape>
          </w:pict>
        </mc:Fallback>
      </mc:AlternateContent>
    </w:r>
    <w:r w:rsidRPr="00D016C3">
      <w:rPr>
        <w:noProof/>
        <w:color w:val="auto"/>
        <w:lang w:eastAsia="en-US"/>
      </w:rPr>
      <w:drawing>
        <wp:anchor distT="0" distB="0" distL="114300" distR="114300" simplePos="0" relativeHeight="251659264" behindDoc="0" locked="0" layoutInCell="1" hidden="0" allowOverlap="1" wp14:anchorId="341B19CD" wp14:editId="341B19CE">
          <wp:simplePos x="0" y="0"/>
          <wp:positionH relativeFrom="margin">
            <wp:posOffset>-1257299</wp:posOffset>
          </wp:positionH>
          <wp:positionV relativeFrom="paragraph">
            <wp:posOffset>-46989</wp:posOffset>
          </wp:positionV>
          <wp:extent cx="690880" cy="10749280"/>
          <wp:effectExtent l="0" t="0" r="0" b="0"/>
          <wp:wrapSquare wrapText="left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016C3">
      <w:rPr>
        <w:noProof/>
        <w:color w:val="auto"/>
        <w:lang w:eastAsia="en-US"/>
      </w:rPr>
      <w:drawing>
        <wp:anchor distT="0" distB="0" distL="114300" distR="114300" simplePos="0" relativeHeight="251660288" behindDoc="0" locked="0" layoutInCell="1" hidden="0" allowOverlap="1" wp14:anchorId="341B19CF" wp14:editId="341B19D0">
          <wp:simplePos x="0" y="0"/>
          <wp:positionH relativeFrom="margin">
            <wp:posOffset>3549650</wp:posOffset>
          </wp:positionH>
          <wp:positionV relativeFrom="paragraph">
            <wp:posOffset>353060</wp:posOffset>
          </wp:positionV>
          <wp:extent cx="2333625" cy="4381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783"/>
    <w:multiLevelType w:val="hybridMultilevel"/>
    <w:tmpl w:val="2D4A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967"/>
    <w:multiLevelType w:val="hybridMultilevel"/>
    <w:tmpl w:val="AC5C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4C2F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8C6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7A69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1CE2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34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88AA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9AD8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C06036"/>
    <w:multiLevelType w:val="hybridMultilevel"/>
    <w:tmpl w:val="E230F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54B09"/>
    <w:multiLevelType w:val="hybridMultilevel"/>
    <w:tmpl w:val="C2B64B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25DCD"/>
    <w:multiLevelType w:val="multilevel"/>
    <w:tmpl w:val="ADB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12330"/>
    <w:multiLevelType w:val="multilevel"/>
    <w:tmpl w:val="291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783D1B"/>
    <w:multiLevelType w:val="hybridMultilevel"/>
    <w:tmpl w:val="091602EA"/>
    <w:lvl w:ilvl="0" w:tplc="25D4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2AF0"/>
    <w:multiLevelType w:val="hybridMultilevel"/>
    <w:tmpl w:val="F24E2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C"/>
    <w:rsid w:val="00003508"/>
    <w:rsid w:val="00005002"/>
    <w:rsid w:val="0000572B"/>
    <w:rsid w:val="00006113"/>
    <w:rsid w:val="00030C2F"/>
    <w:rsid w:val="00030E01"/>
    <w:rsid w:val="00031117"/>
    <w:rsid w:val="000334D8"/>
    <w:rsid w:val="0004478E"/>
    <w:rsid w:val="00046388"/>
    <w:rsid w:val="00070DBD"/>
    <w:rsid w:val="00085598"/>
    <w:rsid w:val="00090124"/>
    <w:rsid w:val="000A5C44"/>
    <w:rsid w:val="000A5DCB"/>
    <w:rsid w:val="000B2208"/>
    <w:rsid w:val="000E6ECF"/>
    <w:rsid w:val="000F05C4"/>
    <w:rsid w:val="000F229F"/>
    <w:rsid w:val="00100CF5"/>
    <w:rsid w:val="00101011"/>
    <w:rsid w:val="00114A33"/>
    <w:rsid w:val="00114F42"/>
    <w:rsid w:val="00133CBF"/>
    <w:rsid w:val="00137B77"/>
    <w:rsid w:val="0014108E"/>
    <w:rsid w:val="00142A76"/>
    <w:rsid w:val="001463B9"/>
    <w:rsid w:val="0015248A"/>
    <w:rsid w:val="00164826"/>
    <w:rsid w:val="00164A7D"/>
    <w:rsid w:val="001673E8"/>
    <w:rsid w:val="0017230F"/>
    <w:rsid w:val="00173B99"/>
    <w:rsid w:val="001A019E"/>
    <w:rsid w:val="001A724A"/>
    <w:rsid w:val="001B0232"/>
    <w:rsid w:val="001C70F1"/>
    <w:rsid w:val="001F01EA"/>
    <w:rsid w:val="001F3439"/>
    <w:rsid w:val="001F4ED1"/>
    <w:rsid w:val="002020E5"/>
    <w:rsid w:val="002130FF"/>
    <w:rsid w:val="00217BA9"/>
    <w:rsid w:val="00223237"/>
    <w:rsid w:val="00232C5B"/>
    <w:rsid w:val="002546D2"/>
    <w:rsid w:val="00275698"/>
    <w:rsid w:val="002756AD"/>
    <w:rsid w:val="00275F77"/>
    <w:rsid w:val="002845AB"/>
    <w:rsid w:val="002A0AF2"/>
    <w:rsid w:val="002A20A8"/>
    <w:rsid w:val="002A52DC"/>
    <w:rsid w:val="002B19E5"/>
    <w:rsid w:val="002B3842"/>
    <w:rsid w:val="002B4672"/>
    <w:rsid w:val="002C2C82"/>
    <w:rsid w:val="00306583"/>
    <w:rsid w:val="00313475"/>
    <w:rsid w:val="0032059F"/>
    <w:rsid w:val="00335D10"/>
    <w:rsid w:val="00342ABB"/>
    <w:rsid w:val="00344644"/>
    <w:rsid w:val="00344DC1"/>
    <w:rsid w:val="00345B49"/>
    <w:rsid w:val="0035066D"/>
    <w:rsid w:val="003558FD"/>
    <w:rsid w:val="00355C37"/>
    <w:rsid w:val="00366A63"/>
    <w:rsid w:val="003835B0"/>
    <w:rsid w:val="00385CF5"/>
    <w:rsid w:val="003A03A2"/>
    <w:rsid w:val="003A3D8A"/>
    <w:rsid w:val="003D108C"/>
    <w:rsid w:val="003F143C"/>
    <w:rsid w:val="003F7C99"/>
    <w:rsid w:val="00404C1B"/>
    <w:rsid w:val="00411739"/>
    <w:rsid w:val="0042666C"/>
    <w:rsid w:val="00427E79"/>
    <w:rsid w:val="004335C5"/>
    <w:rsid w:val="0043630D"/>
    <w:rsid w:val="00436C19"/>
    <w:rsid w:val="00436D48"/>
    <w:rsid w:val="004427E3"/>
    <w:rsid w:val="00445B43"/>
    <w:rsid w:val="0047399B"/>
    <w:rsid w:val="004762AF"/>
    <w:rsid w:val="004835CB"/>
    <w:rsid w:val="004924B9"/>
    <w:rsid w:val="004A3D96"/>
    <w:rsid w:val="004A6D58"/>
    <w:rsid w:val="004B62FF"/>
    <w:rsid w:val="004C21A4"/>
    <w:rsid w:val="004E4104"/>
    <w:rsid w:val="0050731E"/>
    <w:rsid w:val="00510322"/>
    <w:rsid w:val="0051711A"/>
    <w:rsid w:val="005252C5"/>
    <w:rsid w:val="00533BA7"/>
    <w:rsid w:val="0054031D"/>
    <w:rsid w:val="005419A9"/>
    <w:rsid w:val="005433A0"/>
    <w:rsid w:val="005679FA"/>
    <w:rsid w:val="00574031"/>
    <w:rsid w:val="00595723"/>
    <w:rsid w:val="005A60D2"/>
    <w:rsid w:val="005B4BA7"/>
    <w:rsid w:val="005B6604"/>
    <w:rsid w:val="005C2885"/>
    <w:rsid w:val="005F320C"/>
    <w:rsid w:val="005F792E"/>
    <w:rsid w:val="00601F42"/>
    <w:rsid w:val="00616EDE"/>
    <w:rsid w:val="0062005C"/>
    <w:rsid w:val="00641D18"/>
    <w:rsid w:val="0065061B"/>
    <w:rsid w:val="006929A6"/>
    <w:rsid w:val="006964CF"/>
    <w:rsid w:val="006A6AFB"/>
    <w:rsid w:val="006C10CB"/>
    <w:rsid w:val="006C4640"/>
    <w:rsid w:val="006D246C"/>
    <w:rsid w:val="006E3C4C"/>
    <w:rsid w:val="006F5729"/>
    <w:rsid w:val="006F7143"/>
    <w:rsid w:val="006F7D38"/>
    <w:rsid w:val="007206B4"/>
    <w:rsid w:val="00721E8A"/>
    <w:rsid w:val="0074081A"/>
    <w:rsid w:val="00741AE0"/>
    <w:rsid w:val="007421D7"/>
    <w:rsid w:val="00747870"/>
    <w:rsid w:val="00751D28"/>
    <w:rsid w:val="0077230B"/>
    <w:rsid w:val="007761E6"/>
    <w:rsid w:val="0077772B"/>
    <w:rsid w:val="00782A4A"/>
    <w:rsid w:val="007835FC"/>
    <w:rsid w:val="007A01E2"/>
    <w:rsid w:val="007B24D3"/>
    <w:rsid w:val="007B6535"/>
    <w:rsid w:val="007C6C17"/>
    <w:rsid w:val="007D56CF"/>
    <w:rsid w:val="007E161A"/>
    <w:rsid w:val="007E793E"/>
    <w:rsid w:val="007F0768"/>
    <w:rsid w:val="007F3F37"/>
    <w:rsid w:val="008063B8"/>
    <w:rsid w:val="008070A6"/>
    <w:rsid w:val="0081635F"/>
    <w:rsid w:val="00825B46"/>
    <w:rsid w:val="00832609"/>
    <w:rsid w:val="008422D4"/>
    <w:rsid w:val="00857CE0"/>
    <w:rsid w:val="00873ED9"/>
    <w:rsid w:val="008911CF"/>
    <w:rsid w:val="008932BD"/>
    <w:rsid w:val="00896FDF"/>
    <w:rsid w:val="008A3E5A"/>
    <w:rsid w:val="008B1740"/>
    <w:rsid w:val="008B1AF1"/>
    <w:rsid w:val="008C1AD7"/>
    <w:rsid w:val="008F4437"/>
    <w:rsid w:val="0091508C"/>
    <w:rsid w:val="009179F7"/>
    <w:rsid w:val="0093348D"/>
    <w:rsid w:val="009528EB"/>
    <w:rsid w:val="00953E42"/>
    <w:rsid w:val="00963721"/>
    <w:rsid w:val="0096666A"/>
    <w:rsid w:val="00966672"/>
    <w:rsid w:val="00975542"/>
    <w:rsid w:val="00983A54"/>
    <w:rsid w:val="0099797F"/>
    <w:rsid w:val="009B2A76"/>
    <w:rsid w:val="009C6320"/>
    <w:rsid w:val="009C70C9"/>
    <w:rsid w:val="009D33B4"/>
    <w:rsid w:val="009D3AC5"/>
    <w:rsid w:val="009E611B"/>
    <w:rsid w:val="009F20EE"/>
    <w:rsid w:val="009F2193"/>
    <w:rsid w:val="00A02627"/>
    <w:rsid w:val="00A1060B"/>
    <w:rsid w:val="00A16C81"/>
    <w:rsid w:val="00A43608"/>
    <w:rsid w:val="00A437DE"/>
    <w:rsid w:val="00A54A50"/>
    <w:rsid w:val="00A54FAB"/>
    <w:rsid w:val="00A6127D"/>
    <w:rsid w:val="00A62B86"/>
    <w:rsid w:val="00A77A12"/>
    <w:rsid w:val="00A77C20"/>
    <w:rsid w:val="00A876BB"/>
    <w:rsid w:val="00A879FA"/>
    <w:rsid w:val="00AB5703"/>
    <w:rsid w:val="00AE2D7F"/>
    <w:rsid w:val="00AF3BF7"/>
    <w:rsid w:val="00B14235"/>
    <w:rsid w:val="00B217C6"/>
    <w:rsid w:val="00B33F2E"/>
    <w:rsid w:val="00B52F98"/>
    <w:rsid w:val="00B541E9"/>
    <w:rsid w:val="00B62A11"/>
    <w:rsid w:val="00B653A1"/>
    <w:rsid w:val="00B65AC3"/>
    <w:rsid w:val="00B751CE"/>
    <w:rsid w:val="00B86C0E"/>
    <w:rsid w:val="00BA188E"/>
    <w:rsid w:val="00BA474E"/>
    <w:rsid w:val="00BC35A2"/>
    <w:rsid w:val="00BC7C06"/>
    <w:rsid w:val="00BD02E2"/>
    <w:rsid w:val="00BD1DD5"/>
    <w:rsid w:val="00BE1DB0"/>
    <w:rsid w:val="00BE59FA"/>
    <w:rsid w:val="00C10E42"/>
    <w:rsid w:val="00C15802"/>
    <w:rsid w:val="00C26039"/>
    <w:rsid w:val="00C26253"/>
    <w:rsid w:val="00C658A8"/>
    <w:rsid w:val="00C67331"/>
    <w:rsid w:val="00C850AE"/>
    <w:rsid w:val="00C86851"/>
    <w:rsid w:val="00CC117B"/>
    <w:rsid w:val="00CE47E1"/>
    <w:rsid w:val="00CF4C5C"/>
    <w:rsid w:val="00D016C3"/>
    <w:rsid w:val="00D01F82"/>
    <w:rsid w:val="00D0200D"/>
    <w:rsid w:val="00D03374"/>
    <w:rsid w:val="00D05122"/>
    <w:rsid w:val="00D12C78"/>
    <w:rsid w:val="00D20BA1"/>
    <w:rsid w:val="00D41F19"/>
    <w:rsid w:val="00D46224"/>
    <w:rsid w:val="00D62725"/>
    <w:rsid w:val="00D75E40"/>
    <w:rsid w:val="00DA3A43"/>
    <w:rsid w:val="00DA6CEE"/>
    <w:rsid w:val="00DB40EA"/>
    <w:rsid w:val="00DB4514"/>
    <w:rsid w:val="00E06C6B"/>
    <w:rsid w:val="00E06F65"/>
    <w:rsid w:val="00E07AB9"/>
    <w:rsid w:val="00E23141"/>
    <w:rsid w:val="00E23D25"/>
    <w:rsid w:val="00E3515B"/>
    <w:rsid w:val="00E361B5"/>
    <w:rsid w:val="00E45AB8"/>
    <w:rsid w:val="00E47C69"/>
    <w:rsid w:val="00E60DB1"/>
    <w:rsid w:val="00E6459F"/>
    <w:rsid w:val="00E67C0C"/>
    <w:rsid w:val="00E72D5E"/>
    <w:rsid w:val="00E73F5B"/>
    <w:rsid w:val="00E76F13"/>
    <w:rsid w:val="00E77307"/>
    <w:rsid w:val="00E77DA4"/>
    <w:rsid w:val="00E82D5E"/>
    <w:rsid w:val="00E93211"/>
    <w:rsid w:val="00E954C2"/>
    <w:rsid w:val="00E96445"/>
    <w:rsid w:val="00E97DDC"/>
    <w:rsid w:val="00EA2E6D"/>
    <w:rsid w:val="00EA5A21"/>
    <w:rsid w:val="00EA6B3D"/>
    <w:rsid w:val="00EC1D2D"/>
    <w:rsid w:val="00EC7FE6"/>
    <w:rsid w:val="00ED173B"/>
    <w:rsid w:val="00ED3E7E"/>
    <w:rsid w:val="00ED5170"/>
    <w:rsid w:val="00EE3257"/>
    <w:rsid w:val="00EE6F4D"/>
    <w:rsid w:val="00F04076"/>
    <w:rsid w:val="00F051F9"/>
    <w:rsid w:val="00F2080A"/>
    <w:rsid w:val="00F20BF5"/>
    <w:rsid w:val="00F20F12"/>
    <w:rsid w:val="00F27D05"/>
    <w:rsid w:val="00F61C39"/>
    <w:rsid w:val="00F84A97"/>
    <w:rsid w:val="00F87183"/>
    <w:rsid w:val="00F92DC5"/>
    <w:rsid w:val="00FA6F49"/>
    <w:rsid w:val="00FB0E31"/>
    <w:rsid w:val="00FD437B"/>
    <w:rsid w:val="00FF3999"/>
    <w:rsid w:val="00FF482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341B1968"/>
  <w15:docId w15:val="{97F1D0CF-5010-4069-8C8D-D9BDC6E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E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11"/>
  </w:style>
  <w:style w:type="paragraph" w:styleId="Fuzeile">
    <w:name w:val="footer"/>
    <w:basedOn w:val="Standard"/>
    <w:link w:val="Fu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93211"/>
  </w:style>
  <w:style w:type="character" w:styleId="Hyperlink">
    <w:name w:val="Hyperlink"/>
    <w:basedOn w:val="Absatz-Standardschriftart"/>
    <w:uiPriority w:val="99"/>
    <w:unhideWhenUsed/>
    <w:rsid w:val="00953E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40"/>
      <w:contextualSpacing/>
    </w:pPr>
    <w:rPr>
      <w:rFonts w:ascii="Arial" w:hAnsi="Arial" w:cs="Times New Roman"/>
      <w:color w:val="auto"/>
      <w:sz w:val="21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64A7D"/>
    <w:rPr>
      <w:color w:val="954F72" w:themeColor="followedHyperlink"/>
      <w:u w:val="single"/>
    </w:rPr>
  </w:style>
  <w:style w:type="character" w:customStyle="1" w:styleId="1">
    <w:name w:val="メンション1"/>
    <w:basedOn w:val="Absatz-Standardschriftart"/>
    <w:uiPriority w:val="99"/>
    <w:semiHidden/>
    <w:unhideWhenUsed/>
    <w:rsid w:val="00963721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7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7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721"/>
    <w:rPr>
      <w:b/>
      <w:bCs/>
    </w:rPr>
  </w:style>
  <w:style w:type="paragraph" w:styleId="berarbeitung">
    <w:name w:val="Revision"/>
    <w:hidden/>
    <w:uiPriority w:val="99"/>
    <w:semiHidden/>
    <w:rsid w:val="00533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7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813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nergygallery.renesas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youtube.com/RenesasPres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nesassynergy.com/gallery/partner-ecosystem" TargetMode="External"/><Relationship Id="rId19" Type="http://schemas.openxmlformats.org/officeDocument/2006/relationships/hyperlink" Target="http://www.hbi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ae8b4ba67004a95a8e59310967218fc xmlns="2121ca1d-bd4f-4987-8287-ad50630e769d">
      <Terms xmlns="http://schemas.microsoft.com/office/infopath/2007/PartnerControls"/>
    </pae8b4ba67004a95a8e59310967218fc>
    <PublishingStartDate xmlns="http://schemas.microsoft.com/sharepoint/v3" xsi:nil="true"/>
    <TaxCatchAll xmlns="c24288ec-b664-4237-bfbf-b4d89727903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5621F05EDB409387D28B44EC52AB" ma:contentTypeVersion="9" ma:contentTypeDescription="Create a new document." ma:contentTypeScope="" ma:versionID="e736eea9e8427b1bef94ee06ec7e7de3">
  <xsd:schema xmlns:xsd="http://www.w3.org/2001/XMLSchema" xmlns:xs="http://www.w3.org/2001/XMLSchema" xmlns:p="http://schemas.microsoft.com/office/2006/metadata/properties" xmlns:ns1="http://schemas.microsoft.com/sharepoint/v3" xmlns:ns2="2121ca1d-bd4f-4987-8287-ad50630e769d" xmlns:ns3="c24288ec-b664-4237-bfbf-b4d897279037" xmlns:ns4="98b80186-ffd8-4e7a-9d9f-9855b1c4c832" xmlns:ns5="7b9dfb64-fc64-4356-8ec2-07e3736eaa58" xmlns:ns6="http://schemas.microsoft.com/sharepoint/v4" targetNamespace="http://schemas.microsoft.com/office/2006/metadata/properties" ma:root="true" ma:fieldsID="b9ff3f6a971ce1c99e0771f06792ed4d" ns1:_="" ns2:_="" ns3:_="" ns4:_="" ns5:_="" ns6:_="">
    <xsd:import namespace="http://schemas.microsoft.com/sharepoint/v3"/>
    <xsd:import namespace="2121ca1d-bd4f-4987-8287-ad50630e769d"/>
    <xsd:import namespace="c24288ec-b664-4237-bfbf-b4d897279037"/>
    <xsd:import namespace="98b80186-ffd8-4e7a-9d9f-9855b1c4c832"/>
    <xsd:import namespace="7b9dfb64-fc64-4356-8ec2-07e3736eaa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ae8b4ba67004a95a8e59310967218fc" minOccurs="0"/>
                <xsd:element ref="ns3:TaxCatchAll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SharedWithDetails" minOccurs="0"/>
                <xsd:element ref="ns6:IconOverlay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ca1d-bd4f-4987-8287-ad50630e769d" elementFormDefault="qualified">
    <xsd:import namespace="http://schemas.microsoft.com/office/2006/documentManagement/types"/>
    <xsd:import namespace="http://schemas.microsoft.com/office/infopath/2007/PartnerControls"/>
    <xsd:element name="pae8b4ba67004a95a8e59310967218fc" ma:index="9" nillable="true" ma:taxonomy="true" ma:internalName="pae8b4ba67004a95a8e59310967218fc" ma:taxonomyFieldName="CP_x0020_Level" ma:displayName="CP Level" ma:default="" ma:fieldId="{9ae8b4ba-6700-4a95-a8e5-9310967218fc}" ma:sspId="631f0850-98f7-4372-8aa8-4aaf7edce829" ma:termSetId="650452ba-2893-4a7d-8655-16c3d6e39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3cde06-f918-4e3d-8c3d-952dffcf1402}" ma:internalName="TaxCatchAll" ma:showField="CatchAllData" ma:web="2121ca1d-bd4f-4987-8287-ad50630e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0186-ffd8-4e7a-9d9f-9855b1c4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fb64-fc64-4356-8ec2-07e3736e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26112-A78D-420F-A5EB-E3E25C349231}">
  <ds:schemaRefs>
    <ds:schemaRef ds:uri="http://purl.org/dc/dcmitype/"/>
    <ds:schemaRef ds:uri="c24288ec-b664-4237-bfbf-b4d897279037"/>
    <ds:schemaRef ds:uri="http://schemas.microsoft.com/office/2006/documentManagement/types"/>
    <ds:schemaRef ds:uri="7b9dfb64-fc64-4356-8ec2-07e3736eaa58"/>
    <ds:schemaRef ds:uri="http://schemas.microsoft.com/office/2006/metadata/properties"/>
    <ds:schemaRef ds:uri="http://purl.org/dc/elements/1.1/"/>
    <ds:schemaRef ds:uri="2121ca1d-bd4f-4987-8287-ad50630e769d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8b80186-ffd8-4e7a-9d9f-9855b1c4c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D92293-C36E-4EA9-8E0A-7677299C2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21ca1d-bd4f-4987-8287-ad50630e769d"/>
    <ds:schemaRef ds:uri="c24288ec-b664-4237-bfbf-b4d897279037"/>
    <ds:schemaRef ds:uri="98b80186-ffd8-4e7a-9d9f-9855b1c4c832"/>
    <ds:schemaRef ds:uri="7b9dfb64-fc64-4356-8ec2-07e3736eaa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8DBEC-DCCA-4750-9877-4A57C5C11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Alden</dc:creator>
  <cp:lastModifiedBy>Alexandra Janetzko</cp:lastModifiedBy>
  <cp:revision>6</cp:revision>
  <cp:lastPrinted>2017-08-28T15:46:00Z</cp:lastPrinted>
  <dcterms:created xsi:type="dcterms:W3CDTF">2017-10-25T09:28:00Z</dcterms:created>
  <dcterms:modified xsi:type="dcterms:W3CDTF">2017-10-25T09:40:00Z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0x010100BA785621F05EDB409387D28B44EC52AB</vt:lpwstr>
  </property>
  <property fmtid="{D5CDD505-2E9C-101B-9397-08002B2CF9AE}" pid="3" name="CP Level">
    <vt:lpwstr/>
  </property>
</Properties>
</file>